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14:paraId="034D2F79">
      <w:pPr>
        <w:jc w:val="center"/>
        <w:rPr>
          <w:rFonts w:hint="eastAsia" w:ascii="Times New Roman" w:hAnsi="Times New Roman" w:eastAsia="宋体" w:cs="Times New Roman"/>
          <w:sz w:val="52"/>
          <w:szCs w:val="52"/>
          <w:lang w:eastAsia="zh-CN"/>
        </w:rPr>
      </w:pPr>
    </w:p>
    <w:p w14:paraId="5428BA8C">
      <w:pPr>
        <w:jc w:val="center"/>
        <w:rPr>
          <w:rFonts w:hint="eastAsia" w:ascii="Times New Roman" w:hAnsi="Times New Roman" w:eastAsia="宋体" w:cs="Times New Roman"/>
          <w:sz w:val="52"/>
          <w:szCs w:val="52"/>
          <w:lang w:eastAsia="zh-CN"/>
        </w:rPr>
      </w:pPr>
    </w:p>
    <w:p w14:paraId="330C41ED">
      <w:pPr>
        <w:jc w:val="center"/>
        <w:rPr>
          <w:rFonts w:hint="eastAsia" w:ascii="Times New Roman" w:hAnsi="Times New Roman" w:eastAsia="宋体" w:cs="Times New Roman"/>
          <w:sz w:val="52"/>
          <w:szCs w:val="52"/>
          <w:lang w:eastAsia="zh-CN"/>
        </w:rPr>
      </w:pPr>
    </w:p>
    <w:p w14:paraId="29E8A030">
      <w:pPr>
        <w:jc w:val="center"/>
        <w:rPr>
          <w:rFonts w:hint="eastAsia" w:ascii="Times New Roman" w:hAnsi="Times New Roman" w:eastAsia="宋体" w:cs="Times New Roman"/>
          <w:sz w:val="52"/>
          <w:szCs w:val="52"/>
          <w:lang w:eastAsia="zh-CN"/>
        </w:rPr>
      </w:pPr>
    </w:p>
    <w:p w14:paraId="3738CD5B">
      <w:pPr>
        <w:spacing w:line="360" w:lineRule="auto"/>
        <w:jc w:val="center"/>
        <w:rPr>
          <w:rFonts w:hint="eastAsia" w:ascii="Times New Roman" w:hAnsi="Times New Roman" w:eastAsia="宋体" w:cs="Times New Roman"/>
          <w:b/>
          <w:bCs/>
          <w:sz w:val="52"/>
          <w:szCs w:val="52"/>
          <w:lang w:val="en-US" w:eastAsia="zh-CN"/>
        </w:rPr>
      </w:pPr>
      <w:r>
        <w:rPr>
          <w:rFonts w:hint="eastAsia" w:ascii="Times New Roman" w:hAnsi="Times New Roman" w:eastAsia="宋体" w:cs="Times New Roman"/>
          <w:b/>
          <w:bCs/>
          <w:sz w:val="52"/>
          <w:szCs w:val="52"/>
          <w:lang w:val="en-US" w:eastAsia="zh-CN"/>
        </w:rPr>
        <w:t>北京永泰生物制品有限公司</w:t>
      </w:r>
    </w:p>
    <w:p w14:paraId="4A110027">
      <w:pPr>
        <w:spacing w:line="360" w:lineRule="auto"/>
        <w:jc w:val="center"/>
        <w:rPr>
          <w:rFonts w:hint="eastAsia" w:ascii="Times New Roman" w:hAnsi="Times New Roman" w:eastAsia="宋体" w:cs="Times New Roman"/>
          <w:b/>
          <w:bCs/>
          <w:sz w:val="52"/>
          <w:szCs w:val="52"/>
          <w:lang w:val="en-US" w:eastAsia="zh-CN"/>
        </w:rPr>
      </w:pPr>
      <w:r>
        <w:rPr>
          <w:rFonts w:hint="eastAsia" w:ascii="Times New Roman" w:hAnsi="Times New Roman" w:eastAsia="宋体" w:cs="Times New Roman"/>
          <w:b/>
          <w:bCs/>
          <w:sz w:val="52"/>
          <w:szCs w:val="52"/>
          <w:lang w:val="en-US" w:eastAsia="zh-CN"/>
        </w:rPr>
        <w:t>免疫细胞制剂质检实验室项目</w:t>
      </w:r>
    </w:p>
    <w:p w14:paraId="3679D8E4">
      <w:pPr>
        <w:spacing w:line="360" w:lineRule="auto"/>
        <w:jc w:val="center"/>
        <w:rPr>
          <w:rFonts w:hint="default" w:ascii="Times New Roman" w:hAnsi="Times New Roman" w:eastAsia="宋体" w:cs="Times New Roman"/>
          <w:b/>
          <w:bCs/>
          <w:sz w:val="52"/>
          <w:szCs w:val="52"/>
        </w:rPr>
      </w:pPr>
      <w:r>
        <w:rPr>
          <w:rFonts w:hint="default" w:ascii="Times New Roman" w:hAnsi="Times New Roman" w:eastAsia="宋体" w:cs="Times New Roman"/>
          <w:b/>
          <w:bCs/>
          <w:sz w:val="52"/>
          <w:szCs w:val="52"/>
          <w:lang w:val="en-US" w:eastAsia="zh-CN"/>
        </w:rPr>
        <w:t>竣工环境</w:t>
      </w:r>
      <w:r>
        <w:rPr>
          <w:rFonts w:hint="default" w:ascii="Times New Roman" w:hAnsi="Times New Roman" w:eastAsia="宋体" w:cs="Times New Roman"/>
          <w:b/>
          <w:bCs/>
          <w:sz w:val="52"/>
          <w:szCs w:val="52"/>
        </w:rPr>
        <w:t>保护验收监测报告表</w:t>
      </w:r>
    </w:p>
    <w:p w14:paraId="7FAA0FF5">
      <w:pPr>
        <w:spacing w:line="360" w:lineRule="auto"/>
        <w:jc w:val="center"/>
        <w:rPr>
          <w:rFonts w:hint="default" w:ascii="Times New Roman" w:hAnsi="Times New Roman" w:eastAsia="宋体" w:cs="Times New Roman"/>
          <w:b/>
          <w:bCs/>
          <w:sz w:val="52"/>
          <w:szCs w:val="52"/>
        </w:rPr>
      </w:pPr>
    </w:p>
    <w:p w14:paraId="29EE7EB0">
      <w:pPr>
        <w:spacing w:line="360" w:lineRule="auto"/>
        <w:jc w:val="center"/>
        <w:rPr>
          <w:rFonts w:hint="default" w:ascii="Times New Roman" w:hAnsi="Times New Roman" w:eastAsia="宋体" w:cs="Times New Roman"/>
          <w:b/>
          <w:bCs/>
          <w:sz w:val="52"/>
          <w:szCs w:val="52"/>
        </w:rPr>
      </w:pPr>
    </w:p>
    <w:p w14:paraId="195E0294">
      <w:pPr>
        <w:spacing w:line="360" w:lineRule="auto"/>
        <w:jc w:val="center"/>
        <w:rPr>
          <w:rFonts w:hint="default" w:ascii="Times New Roman" w:hAnsi="Times New Roman" w:eastAsia="宋体" w:cs="Times New Roman"/>
          <w:b/>
          <w:bCs/>
          <w:sz w:val="52"/>
          <w:szCs w:val="52"/>
        </w:rPr>
      </w:pPr>
    </w:p>
    <w:p w14:paraId="57430205">
      <w:pPr>
        <w:spacing w:line="360" w:lineRule="auto"/>
        <w:ind w:firstLine="720" w:firstLineChars="300"/>
        <w:jc w:val="left"/>
        <w:rPr>
          <w:rFonts w:hint="default" w:ascii="Times New Roman" w:hAnsi="Times New Roman" w:eastAsia="宋体" w:cs="Times New Roman"/>
          <w:sz w:val="24"/>
          <w:szCs w:val="24"/>
        </w:rPr>
      </w:pPr>
    </w:p>
    <w:p w14:paraId="2E90A6B7">
      <w:pPr>
        <w:spacing w:line="360" w:lineRule="auto"/>
        <w:jc w:val="left"/>
        <w:rPr>
          <w:rFonts w:hint="default" w:ascii="Times New Roman" w:hAnsi="Times New Roman" w:eastAsia="宋体" w:cs="Times New Roman"/>
          <w:sz w:val="24"/>
          <w:szCs w:val="24"/>
        </w:rPr>
      </w:pPr>
    </w:p>
    <w:p w14:paraId="1BDF02F3">
      <w:pPr>
        <w:spacing w:line="360" w:lineRule="auto"/>
        <w:ind w:firstLine="720" w:firstLineChars="300"/>
        <w:jc w:val="left"/>
        <w:rPr>
          <w:rFonts w:hint="default" w:ascii="Times New Roman" w:hAnsi="Times New Roman" w:eastAsia="宋体" w:cs="Times New Roman"/>
          <w:sz w:val="24"/>
          <w:szCs w:val="24"/>
        </w:rPr>
      </w:pPr>
    </w:p>
    <w:p w14:paraId="0F650A88">
      <w:pPr>
        <w:spacing w:line="360" w:lineRule="auto"/>
        <w:ind w:firstLine="720" w:firstLineChars="300"/>
        <w:jc w:val="left"/>
        <w:rPr>
          <w:rFonts w:hint="default" w:ascii="Times New Roman" w:hAnsi="Times New Roman" w:eastAsia="宋体" w:cs="Times New Roman"/>
          <w:sz w:val="24"/>
          <w:szCs w:val="24"/>
        </w:rPr>
      </w:pPr>
    </w:p>
    <w:p w14:paraId="19714DC3">
      <w:pPr>
        <w:spacing w:line="360" w:lineRule="auto"/>
        <w:ind w:firstLine="720" w:firstLineChars="300"/>
        <w:jc w:val="left"/>
        <w:rPr>
          <w:rFonts w:hint="default" w:ascii="Times New Roman" w:hAnsi="Times New Roman" w:eastAsia="宋体" w:cs="Times New Roman"/>
          <w:sz w:val="24"/>
          <w:szCs w:val="24"/>
        </w:rPr>
      </w:pPr>
    </w:p>
    <w:p w14:paraId="6793D947">
      <w:pPr>
        <w:spacing w:line="360" w:lineRule="auto"/>
        <w:ind w:firstLine="720" w:firstLineChars="300"/>
        <w:jc w:val="left"/>
        <w:rPr>
          <w:rFonts w:hint="default" w:ascii="Times New Roman" w:hAnsi="Times New Roman" w:eastAsia="宋体" w:cs="Times New Roman"/>
          <w:sz w:val="24"/>
          <w:szCs w:val="24"/>
        </w:rPr>
      </w:pPr>
    </w:p>
    <w:p w14:paraId="7B98D2B4">
      <w:pPr>
        <w:spacing w:line="360" w:lineRule="auto"/>
        <w:jc w:val="center"/>
        <w:rPr>
          <w:rFonts w:hint="default" w:ascii="Times New Roman" w:hAnsi="Times New Roman" w:eastAsia="宋体" w:cs="Times New Roman"/>
          <w:color w:val="000000" w:themeColor="text1"/>
          <w:sz w:val="24"/>
          <w:szCs w:val="24"/>
          <w14:textFill>
            <w14:solidFill>
              <w14:schemeClr w14:val="tx1"/>
            </w14:solidFill>
          </w14:textFill>
        </w:rPr>
      </w:pPr>
    </w:p>
    <w:p w14:paraId="43D4582E">
      <w:pPr>
        <w:spacing w:line="360" w:lineRule="auto"/>
        <w:jc w:val="center"/>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建设单位：</w:t>
      </w:r>
      <w:r>
        <w:rPr>
          <w:rFonts w:hint="eastAsia" w:ascii="Times New Roman" w:hAnsi="Times New Roman" w:eastAsia="宋体" w:cs="Times New Roman"/>
          <w:color w:val="000000" w:themeColor="text1"/>
          <w:sz w:val="24"/>
          <w:szCs w:val="24"/>
          <w:lang w:eastAsia="zh-CN"/>
          <w14:textFill>
            <w14:solidFill>
              <w14:schemeClr w14:val="tx1"/>
            </w14:solidFill>
          </w14:textFill>
        </w:rPr>
        <w:t>北京永泰生物制品有限公司</w:t>
      </w:r>
    </w:p>
    <w:p w14:paraId="4E5E53B4">
      <w:pPr>
        <w:spacing w:line="360" w:lineRule="auto"/>
        <w:jc w:val="center"/>
        <w:rPr>
          <w:rFonts w:hint="eastAsia" w:ascii="Times New Roman" w:hAnsi="Times New Roman" w:eastAsia="宋体" w:cs="Times New Roman"/>
          <w:color w:val="000000"/>
          <w:sz w:val="24"/>
          <w:szCs w:val="24"/>
          <w:lang w:eastAsia="zh-CN"/>
        </w:rPr>
      </w:pPr>
      <w:r>
        <w:rPr>
          <w:rFonts w:hint="default" w:ascii="Times New Roman" w:hAnsi="Times New Roman" w:eastAsia="宋体" w:cs="Times New Roman"/>
          <w:color w:val="000000" w:themeColor="text1"/>
          <w:sz w:val="24"/>
          <w:szCs w:val="24"/>
          <w14:textFill>
            <w14:solidFill>
              <w14:schemeClr w14:val="tx1"/>
            </w14:solidFill>
          </w14:textFill>
        </w:rPr>
        <w:t>编制单位</w:t>
      </w:r>
      <w:r>
        <w:rPr>
          <w:rFonts w:hint="default" w:ascii="Times New Roman" w:hAnsi="Times New Roman" w:eastAsia="宋体" w:cs="Times New Roman"/>
          <w:sz w:val="24"/>
          <w:szCs w:val="24"/>
        </w:rPr>
        <w:t>：</w:t>
      </w:r>
      <w:r>
        <w:rPr>
          <w:rFonts w:hint="default" w:ascii="Times New Roman" w:hAnsi="Times New Roman" w:eastAsia="宋体" w:cs="Times New Roman"/>
          <w:color w:val="000000"/>
          <w:sz w:val="24"/>
          <w:szCs w:val="24"/>
        </w:rPr>
        <w:t>中谱（北京）测试科技有限公司</w:t>
      </w:r>
    </w:p>
    <w:p w14:paraId="10ACC980">
      <w:pPr>
        <w:spacing w:line="360" w:lineRule="auto"/>
        <w:jc w:val="center"/>
        <w:rPr>
          <w:rFonts w:hint="default" w:ascii="Times New Roman" w:hAnsi="Times New Roman" w:eastAsia="宋体" w:cs="Times New Roman"/>
          <w:sz w:val="28"/>
          <w:szCs w:val="28"/>
        </w:rPr>
      </w:pPr>
      <w:r>
        <w:rPr>
          <w:rFonts w:hint="default" w:ascii="Times New Roman" w:hAnsi="Times New Roman" w:eastAsia="宋体" w:cs="Times New Roman"/>
          <w:sz w:val="28"/>
          <w:szCs w:val="28"/>
        </w:rPr>
        <w:t>202</w:t>
      </w:r>
      <w:r>
        <w:rPr>
          <w:rFonts w:hint="eastAsia" w:ascii="Times New Roman" w:hAnsi="Times New Roman" w:eastAsia="宋体" w:cs="Times New Roman"/>
          <w:sz w:val="28"/>
          <w:szCs w:val="28"/>
          <w:lang w:val="en-US" w:eastAsia="zh-CN"/>
        </w:rPr>
        <w:t>5</w:t>
      </w:r>
      <w:r>
        <w:rPr>
          <w:rFonts w:hint="default" w:ascii="Times New Roman" w:hAnsi="Times New Roman" w:eastAsia="宋体" w:cs="Times New Roman"/>
          <w:sz w:val="28"/>
          <w:szCs w:val="28"/>
        </w:rPr>
        <w:t>年</w:t>
      </w:r>
      <w:r>
        <w:rPr>
          <w:rFonts w:hint="eastAsia" w:ascii="Times New Roman" w:hAnsi="Times New Roman" w:eastAsia="宋体" w:cs="Times New Roman"/>
          <w:sz w:val="28"/>
          <w:szCs w:val="28"/>
          <w:lang w:val="en-US" w:eastAsia="zh-CN"/>
        </w:rPr>
        <w:t>11</w:t>
      </w:r>
      <w:r>
        <w:rPr>
          <w:rFonts w:hint="default" w:ascii="Times New Roman" w:hAnsi="Times New Roman" w:eastAsia="宋体" w:cs="Times New Roman"/>
          <w:sz w:val="28"/>
          <w:szCs w:val="28"/>
        </w:rPr>
        <w:t>月</w:t>
      </w:r>
    </w:p>
    <w:p w14:paraId="15BA24AD">
      <w:pPr>
        <w:spacing w:line="360" w:lineRule="auto"/>
        <w:jc w:val="center"/>
        <w:rPr>
          <w:rFonts w:hint="eastAsia" w:ascii="Times New Roman" w:hAnsi="Times New Roman" w:eastAsia="宋体" w:cs="Times New Roman"/>
          <w:color w:val="000000"/>
          <w:sz w:val="24"/>
          <w:szCs w:val="24"/>
          <w:lang w:eastAsia="zh-CN"/>
        </w:rPr>
      </w:pPr>
    </w:p>
    <w:p w14:paraId="1030AF19">
      <w:pPr>
        <w:spacing w:line="360" w:lineRule="auto"/>
        <w:jc w:val="center"/>
        <w:rPr>
          <w:rFonts w:hint="eastAsia" w:ascii="Times New Roman" w:hAnsi="Times New Roman" w:eastAsia="宋体" w:cs="Times New Roman"/>
          <w:color w:val="000000"/>
          <w:sz w:val="24"/>
          <w:szCs w:val="24"/>
          <w:lang w:eastAsia="zh-CN"/>
        </w:rPr>
      </w:pPr>
    </w:p>
    <w:p w14:paraId="12AE3DCA">
      <w:pPr>
        <w:spacing w:line="360" w:lineRule="auto"/>
        <w:jc w:val="both"/>
        <w:rPr>
          <w:rFonts w:hint="default" w:ascii="Times New Roman" w:hAnsi="Times New Roman" w:eastAsia="宋体" w:cs="Times New Roman"/>
          <w:color w:val="000000"/>
          <w:sz w:val="24"/>
          <w:szCs w:val="24"/>
          <w:lang w:eastAsia="zh-CN"/>
        </w:rPr>
      </w:pPr>
    </w:p>
    <w:p w14:paraId="006B603C">
      <w:pPr>
        <w:spacing w:line="360" w:lineRule="auto"/>
        <w:jc w:val="both"/>
        <w:rPr>
          <w:rFonts w:hint="default" w:ascii="Times New Roman" w:hAnsi="Times New Roman" w:eastAsia="宋体" w:cs="Times New Roman"/>
          <w:color w:val="000000"/>
          <w:sz w:val="24"/>
          <w:szCs w:val="24"/>
          <w:lang w:eastAsia="zh-CN"/>
        </w:rPr>
      </w:pPr>
    </w:p>
    <w:p w14:paraId="6DC7600F">
      <w:pPr>
        <w:spacing w:line="360" w:lineRule="auto"/>
        <w:ind w:firstLine="720" w:firstLineChars="300"/>
        <w:jc w:val="left"/>
        <w:rPr>
          <w:rFonts w:hint="default" w:ascii="Times New Roman" w:hAnsi="Times New Roman" w:eastAsia="宋体" w:cs="Times New Roman"/>
          <w:sz w:val="28"/>
          <w:szCs w:val="28"/>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 xml:space="preserve">  </w:t>
      </w:r>
      <w:bookmarkStart w:id="0" w:name="_Toc515281369"/>
    </w:p>
    <w:p w14:paraId="705CD70C">
      <w:pPr>
        <w:spacing w:line="360" w:lineRule="auto"/>
        <w:ind w:firstLine="840" w:firstLineChars="300"/>
        <w:jc w:val="left"/>
        <w:rPr>
          <w:rFonts w:hint="eastAsia" w:ascii="Times New Roman" w:hAnsi="Times New Roman" w:cs="Times New Roman"/>
          <w:sz w:val="28"/>
          <w:szCs w:val="28"/>
          <w:lang w:eastAsia="zh-CN"/>
        </w:rPr>
      </w:pPr>
      <w:r>
        <w:rPr>
          <w:rFonts w:hint="default" w:ascii="Times New Roman" w:hAnsi="Times New Roman" w:cs="Times New Roman"/>
          <w:sz w:val="28"/>
          <w:szCs w:val="28"/>
        </w:rPr>
        <w:t>建设单位：</w:t>
      </w:r>
      <w:r>
        <w:rPr>
          <w:rFonts w:hint="eastAsia" w:ascii="Times New Roman" w:hAnsi="Times New Roman" w:cs="Times New Roman"/>
          <w:sz w:val="28"/>
          <w:szCs w:val="28"/>
          <w:lang w:eastAsia="zh-CN"/>
        </w:rPr>
        <w:t>北京永泰生物制品有限公司</w:t>
      </w:r>
    </w:p>
    <w:p w14:paraId="53BFB285">
      <w:pPr>
        <w:spacing w:line="360" w:lineRule="auto"/>
        <w:ind w:firstLine="840" w:firstLineChars="300"/>
        <w:jc w:val="left"/>
        <w:rPr>
          <w:rFonts w:hint="default" w:ascii="Times New Roman" w:hAnsi="Times New Roman" w:cs="Times New Roman"/>
          <w:sz w:val="28"/>
          <w:szCs w:val="28"/>
          <w:lang w:val="en-US" w:eastAsia="zh-CN"/>
        </w:rPr>
      </w:pPr>
      <w:r>
        <w:rPr>
          <w:rFonts w:hint="default" w:ascii="Times New Roman" w:hAnsi="Times New Roman" w:cs="Times New Roman"/>
          <w:sz w:val="28"/>
          <w:szCs w:val="28"/>
        </w:rPr>
        <w:t>法人代表：</w:t>
      </w:r>
      <w:r>
        <w:rPr>
          <w:rFonts w:hint="eastAsia" w:ascii="Times New Roman" w:hAnsi="Times New Roman" w:cs="Times New Roman"/>
          <w:sz w:val="28"/>
          <w:szCs w:val="28"/>
          <w:lang w:val="en-US" w:eastAsia="zh-CN"/>
        </w:rPr>
        <w:t>张键</w:t>
      </w:r>
    </w:p>
    <w:p w14:paraId="389818FC">
      <w:pPr>
        <w:spacing w:line="360" w:lineRule="auto"/>
        <w:ind w:firstLine="840" w:firstLineChars="300"/>
        <w:jc w:val="left"/>
        <w:rPr>
          <w:rFonts w:hint="default" w:ascii="Times New Roman" w:hAnsi="Times New Roman" w:cs="Times New Roman"/>
          <w:sz w:val="28"/>
          <w:szCs w:val="28"/>
        </w:rPr>
      </w:pPr>
      <w:r>
        <w:rPr>
          <w:rFonts w:hint="default" w:ascii="Times New Roman" w:hAnsi="Times New Roman" w:cs="Times New Roman"/>
          <w:sz w:val="28"/>
          <w:szCs w:val="28"/>
        </w:rPr>
        <w:t>编制单位：中谱（北京）测试科技有限公司</w:t>
      </w:r>
    </w:p>
    <w:p w14:paraId="580F5202">
      <w:pPr>
        <w:spacing w:line="360" w:lineRule="auto"/>
        <w:ind w:firstLine="840" w:firstLineChars="300"/>
        <w:jc w:val="left"/>
        <w:rPr>
          <w:rFonts w:hint="default" w:ascii="Times New Roman" w:hAnsi="Times New Roman" w:cs="Times New Roman"/>
          <w:sz w:val="28"/>
          <w:szCs w:val="28"/>
        </w:rPr>
      </w:pPr>
      <w:r>
        <w:rPr>
          <w:rFonts w:hint="default" w:ascii="Times New Roman" w:hAnsi="Times New Roman" w:cs="Times New Roman"/>
          <w:sz w:val="28"/>
          <w:szCs w:val="28"/>
        </w:rPr>
        <w:t>法人代表：魏宪清</w:t>
      </w:r>
    </w:p>
    <w:p w14:paraId="5FA9FCBE">
      <w:pPr>
        <w:ind w:firstLine="840" w:firstLineChars="300"/>
        <w:rPr>
          <w:rFonts w:hint="default" w:ascii="Times New Roman" w:hAnsi="Times New Roman" w:cs="Times New Roman"/>
          <w:sz w:val="28"/>
          <w:szCs w:val="28"/>
        </w:rPr>
      </w:pPr>
      <w:r>
        <w:rPr>
          <w:rFonts w:hint="default" w:ascii="Times New Roman" w:hAnsi="Times New Roman" w:cs="Times New Roman"/>
          <w:sz w:val="28"/>
          <w:szCs w:val="28"/>
        </w:rPr>
        <w:t>项目负责人：桂芬</w:t>
      </w:r>
    </w:p>
    <w:p w14:paraId="2A82D973">
      <w:pPr>
        <w:rPr>
          <w:rFonts w:hint="default" w:ascii="Times New Roman" w:hAnsi="Times New Roman" w:cs="Times New Roman"/>
          <w:sz w:val="28"/>
          <w:szCs w:val="28"/>
        </w:rPr>
      </w:pPr>
    </w:p>
    <w:p w14:paraId="72F8D599">
      <w:pPr>
        <w:rPr>
          <w:rFonts w:hint="eastAsia" w:ascii="Times New Roman" w:hAnsi="Times New Roman" w:cs="Times New Roman"/>
          <w:sz w:val="28"/>
          <w:szCs w:val="28"/>
          <w:lang w:eastAsia="zh-CN"/>
        </w:rPr>
      </w:pPr>
    </w:p>
    <w:p w14:paraId="3225324A">
      <w:pPr>
        <w:rPr>
          <w:rFonts w:hint="eastAsia" w:ascii="Times New Roman" w:hAnsi="Times New Roman" w:cs="Times New Roman"/>
          <w:sz w:val="28"/>
          <w:szCs w:val="28"/>
          <w:lang w:eastAsia="zh-CN"/>
        </w:rPr>
      </w:pPr>
    </w:p>
    <w:p w14:paraId="776464B5">
      <w:pPr>
        <w:rPr>
          <w:rFonts w:hint="eastAsia" w:ascii="Times New Roman" w:hAnsi="Times New Roman" w:cs="Times New Roman"/>
          <w:sz w:val="28"/>
          <w:szCs w:val="28"/>
          <w:lang w:eastAsia="zh-CN"/>
        </w:rPr>
      </w:pPr>
    </w:p>
    <w:p w14:paraId="3FC585F1">
      <w:pPr>
        <w:rPr>
          <w:rFonts w:hint="eastAsia" w:ascii="Times New Roman" w:hAnsi="Times New Roman" w:cs="Times New Roman"/>
          <w:sz w:val="28"/>
          <w:szCs w:val="28"/>
          <w:lang w:eastAsia="zh-CN"/>
        </w:rPr>
      </w:pPr>
    </w:p>
    <w:p w14:paraId="5B1358C3">
      <w:pPr>
        <w:rPr>
          <w:rFonts w:hint="eastAsia" w:ascii="Times New Roman" w:hAnsi="Times New Roman" w:cs="Times New Roman"/>
          <w:sz w:val="28"/>
          <w:szCs w:val="28"/>
          <w:lang w:eastAsia="zh-CN"/>
        </w:rPr>
      </w:pPr>
    </w:p>
    <w:p w14:paraId="1C8032C1">
      <w:pPr>
        <w:rPr>
          <w:rFonts w:hint="eastAsia" w:ascii="Times New Roman" w:hAnsi="Times New Roman" w:cs="Times New Roman"/>
          <w:sz w:val="28"/>
          <w:szCs w:val="28"/>
          <w:lang w:eastAsia="zh-CN"/>
        </w:rPr>
      </w:pPr>
    </w:p>
    <w:p w14:paraId="4A587763">
      <w:pPr>
        <w:rPr>
          <w:rFonts w:hint="eastAsia" w:ascii="Times New Roman" w:hAnsi="Times New Roman" w:cs="Times New Roman"/>
          <w:sz w:val="28"/>
          <w:szCs w:val="28"/>
          <w:lang w:eastAsia="zh-CN"/>
        </w:rPr>
      </w:pPr>
    </w:p>
    <w:p w14:paraId="2471B3E2">
      <w:pPr>
        <w:rPr>
          <w:rFonts w:hint="eastAsia" w:ascii="Times New Roman" w:hAnsi="Times New Roman" w:cs="Times New Roman"/>
          <w:sz w:val="28"/>
          <w:szCs w:val="28"/>
          <w:lang w:eastAsia="zh-CN"/>
        </w:rPr>
      </w:pPr>
    </w:p>
    <w:p w14:paraId="140D7DB3">
      <w:pPr>
        <w:rPr>
          <w:rFonts w:hint="eastAsia" w:ascii="Times New Roman" w:hAnsi="Times New Roman" w:cs="Times New Roman"/>
          <w:sz w:val="28"/>
          <w:szCs w:val="28"/>
          <w:lang w:eastAsia="zh-CN"/>
        </w:rPr>
      </w:pPr>
    </w:p>
    <w:p w14:paraId="7678F88D">
      <w:pPr>
        <w:rPr>
          <w:rFonts w:hint="eastAsia" w:ascii="Times New Roman" w:hAnsi="Times New Roman" w:cs="Times New Roman"/>
          <w:sz w:val="28"/>
          <w:szCs w:val="28"/>
          <w:lang w:eastAsia="zh-CN"/>
        </w:rPr>
      </w:pPr>
    </w:p>
    <w:p w14:paraId="7F14BF0A">
      <w:pPr>
        <w:rPr>
          <w:rFonts w:hint="eastAsia" w:ascii="Times New Roman" w:hAnsi="Times New Roman" w:cs="Times New Roman"/>
          <w:sz w:val="28"/>
          <w:szCs w:val="28"/>
          <w:lang w:eastAsia="zh-CN"/>
        </w:rPr>
      </w:pPr>
    </w:p>
    <w:p w14:paraId="1013329B">
      <w:pPr>
        <w:rPr>
          <w:rFonts w:hint="eastAsia" w:ascii="Times New Roman" w:hAnsi="Times New Roman" w:cs="Times New Roman"/>
          <w:sz w:val="28"/>
          <w:szCs w:val="28"/>
          <w:lang w:eastAsia="zh-CN"/>
        </w:rPr>
      </w:pPr>
    </w:p>
    <w:p w14:paraId="69807A5C">
      <w:pPr>
        <w:rPr>
          <w:rFonts w:hint="eastAsia" w:ascii="Times New Roman" w:hAnsi="Times New Roman" w:cs="Times New Roman"/>
          <w:sz w:val="28"/>
          <w:szCs w:val="28"/>
          <w:lang w:eastAsia="zh-CN"/>
        </w:rPr>
      </w:pPr>
    </w:p>
    <w:p w14:paraId="20337169">
      <w:pPr>
        <w:rPr>
          <w:rFonts w:hint="eastAsia" w:ascii="Times New Roman" w:hAnsi="Times New Roman" w:cs="Times New Roman"/>
          <w:sz w:val="28"/>
          <w:szCs w:val="28"/>
          <w:lang w:eastAsia="zh-CN"/>
        </w:rPr>
      </w:pPr>
    </w:p>
    <w:p w14:paraId="59B63A26">
      <w:pPr>
        <w:rPr>
          <w:rFonts w:hint="eastAsia" w:ascii="Times New Roman" w:hAnsi="Times New Roman" w:cs="Times New Roman"/>
          <w:sz w:val="28"/>
          <w:szCs w:val="28"/>
          <w:lang w:eastAsia="zh-CN"/>
        </w:rPr>
      </w:pPr>
    </w:p>
    <w:p w14:paraId="32519E6A">
      <w:pPr>
        <w:rPr>
          <w:rFonts w:hint="eastAsia" w:ascii="Times New Roman" w:hAnsi="Times New Roman" w:cs="Times New Roman"/>
          <w:sz w:val="28"/>
          <w:szCs w:val="28"/>
          <w:lang w:eastAsia="zh-CN"/>
        </w:rPr>
      </w:pPr>
    </w:p>
    <w:p w14:paraId="1FDCE2BB">
      <w:pPr>
        <w:rPr>
          <w:rFonts w:hint="eastAsia" w:ascii="Times New Roman" w:hAnsi="Times New Roman" w:cs="Times New Roman"/>
          <w:sz w:val="28"/>
          <w:szCs w:val="28"/>
          <w:lang w:eastAsia="zh-CN"/>
        </w:rPr>
      </w:pPr>
    </w:p>
    <w:p w14:paraId="60F6F7CB">
      <w:pPr>
        <w:rPr>
          <w:rFonts w:hint="eastAsia" w:ascii="Times New Roman" w:hAnsi="Times New Roman" w:cs="Times New Roman"/>
          <w:sz w:val="28"/>
          <w:szCs w:val="28"/>
          <w:lang w:eastAsia="zh-CN"/>
        </w:rPr>
      </w:pPr>
    </w:p>
    <w:p w14:paraId="79870052">
      <w:pPr>
        <w:rPr>
          <w:rFonts w:hint="eastAsia" w:ascii="Times New Roman" w:hAnsi="Times New Roman" w:cs="Times New Roman"/>
          <w:sz w:val="28"/>
          <w:szCs w:val="28"/>
          <w:lang w:eastAsia="zh-CN"/>
        </w:rPr>
      </w:pPr>
    </w:p>
    <w:p w14:paraId="7EA5FD43">
      <w:pPr>
        <w:rPr>
          <w:rFonts w:hint="eastAsia" w:ascii="Times New Roman" w:hAnsi="Times New Roman" w:cs="Times New Roman" w:eastAsiaTheme="minorEastAsia"/>
          <w:sz w:val="28"/>
          <w:szCs w:val="28"/>
          <w:lang w:eastAsia="zh-CN"/>
        </w:rPr>
      </w:pPr>
    </w:p>
    <w:tbl>
      <w:tblPr>
        <w:tblStyle w:val="30"/>
        <w:tblW w:w="851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185"/>
        <w:gridCol w:w="4331"/>
      </w:tblGrid>
      <w:tr w14:paraId="3946C4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85" w:type="dxa"/>
            <w:tcBorders>
              <w:top w:val="nil"/>
              <w:left w:val="nil"/>
              <w:bottom w:val="nil"/>
              <w:right w:val="nil"/>
            </w:tcBorders>
            <w:vAlign w:val="center"/>
          </w:tcPr>
          <w:p w14:paraId="00F5174F">
            <w:pPr>
              <w:widowControl/>
              <w:spacing w:line="360" w:lineRule="auto"/>
              <w:jc w:val="both"/>
              <w:rPr>
                <w:rFonts w:hint="default" w:ascii="Times New Roman" w:hAnsi="Times New Roman" w:eastAsia="宋体" w:cs="Times New Roman"/>
                <w:color w:val="000000"/>
                <w:kern w:val="0"/>
                <w:sz w:val="24"/>
                <w:szCs w:val="24"/>
                <w:lang w:eastAsia="zh-CN"/>
              </w:rPr>
            </w:pPr>
            <w:r>
              <w:rPr>
                <w:rFonts w:hint="eastAsia" w:ascii="Times New Roman" w:hAnsi="Times New Roman" w:eastAsia="宋体" w:cs="Times New Roman"/>
                <w:color w:val="000000"/>
                <w:kern w:val="0"/>
                <w:sz w:val="24"/>
                <w:szCs w:val="24"/>
                <w:lang w:eastAsia="zh-CN"/>
              </w:rPr>
              <w:t>北京永泰生物制品有限公司</w:t>
            </w:r>
          </w:p>
        </w:tc>
        <w:tc>
          <w:tcPr>
            <w:tcW w:w="4331" w:type="dxa"/>
            <w:tcBorders>
              <w:top w:val="nil"/>
              <w:left w:val="nil"/>
              <w:bottom w:val="nil"/>
              <w:right w:val="nil"/>
            </w:tcBorders>
            <w:vAlign w:val="center"/>
          </w:tcPr>
          <w:p w14:paraId="24E7B61E">
            <w:pPr>
              <w:widowControl/>
              <w:spacing w:line="360" w:lineRule="auto"/>
              <w:jc w:val="both"/>
              <w:rPr>
                <w:rFonts w:hint="default" w:ascii="Times New Roman" w:hAnsi="Times New Roman" w:eastAsia="宋体" w:cs="Times New Roman"/>
                <w:color w:val="000000"/>
                <w:kern w:val="0"/>
                <w:sz w:val="24"/>
                <w:szCs w:val="24"/>
              </w:rPr>
            </w:pPr>
            <w:r>
              <w:rPr>
                <w:rFonts w:hint="default" w:ascii="Times New Roman" w:hAnsi="Times New Roman" w:eastAsia="宋体" w:cs="Times New Roman"/>
                <w:color w:val="000000"/>
                <w:kern w:val="0"/>
                <w:sz w:val="24"/>
                <w:szCs w:val="24"/>
              </w:rPr>
              <w:t>中谱（北京）测试科技有限公司</w:t>
            </w:r>
          </w:p>
        </w:tc>
      </w:tr>
      <w:tr w14:paraId="6DADF2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85" w:type="dxa"/>
            <w:tcBorders>
              <w:top w:val="nil"/>
              <w:left w:val="nil"/>
              <w:bottom w:val="nil"/>
              <w:right w:val="nil"/>
            </w:tcBorders>
            <w:vAlign w:val="center"/>
          </w:tcPr>
          <w:p w14:paraId="50974646">
            <w:pPr>
              <w:widowControl/>
              <w:spacing w:line="360" w:lineRule="auto"/>
              <w:jc w:val="left"/>
              <w:rPr>
                <w:rFonts w:hint="default" w:ascii="Times New Roman" w:hAnsi="Times New Roman" w:eastAsia="宋体" w:cs="Times New Roman"/>
                <w:color w:val="000000"/>
                <w:kern w:val="0"/>
                <w:sz w:val="24"/>
                <w:szCs w:val="24"/>
                <w:lang w:val="en-US" w:eastAsia="zh-CN"/>
              </w:rPr>
            </w:pPr>
            <w:r>
              <w:rPr>
                <w:rFonts w:hint="default" w:ascii="Times New Roman" w:hAnsi="Times New Roman" w:eastAsia="宋体" w:cs="Times New Roman"/>
                <w:color w:val="000000"/>
                <w:kern w:val="0"/>
                <w:sz w:val="24"/>
                <w:szCs w:val="24"/>
              </w:rPr>
              <w:t>电话：1</w:t>
            </w:r>
            <w:r>
              <w:rPr>
                <w:rFonts w:hint="eastAsia" w:ascii="Times New Roman" w:hAnsi="Times New Roman" w:eastAsia="宋体" w:cs="Times New Roman"/>
                <w:color w:val="000000"/>
                <w:kern w:val="0"/>
                <w:sz w:val="24"/>
                <w:szCs w:val="24"/>
                <w:lang w:val="en-US" w:eastAsia="zh-CN"/>
              </w:rPr>
              <w:t>8910660941</w:t>
            </w:r>
          </w:p>
        </w:tc>
        <w:tc>
          <w:tcPr>
            <w:tcW w:w="4331" w:type="dxa"/>
            <w:tcBorders>
              <w:top w:val="nil"/>
              <w:left w:val="nil"/>
              <w:bottom w:val="nil"/>
              <w:right w:val="nil"/>
            </w:tcBorders>
            <w:vAlign w:val="center"/>
          </w:tcPr>
          <w:p w14:paraId="723CBF82">
            <w:pPr>
              <w:widowControl/>
              <w:spacing w:line="360" w:lineRule="auto"/>
              <w:rPr>
                <w:rFonts w:hint="default" w:ascii="Times New Roman" w:hAnsi="Times New Roman" w:eastAsia="宋体" w:cs="Times New Roman"/>
                <w:color w:val="000000"/>
                <w:kern w:val="0"/>
                <w:sz w:val="24"/>
                <w:szCs w:val="24"/>
              </w:rPr>
            </w:pPr>
            <w:r>
              <w:rPr>
                <w:rFonts w:hint="default" w:ascii="Times New Roman" w:hAnsi="Times New Roman" w:eastAsia="宋体" w:cs="Times New Roman"/>
                <w:color w:val="000000"/>
                <w:kern w:val="0"/>
                <w:sz w:val="24"/>
                <w:szCs w:val="24"/>
              </w:rPr>
              <w:t>电话：010-67885440</w:t>
            </w:r>
          </w:p>
        </w:tc>
      </w:tr>
      <w:tr w14:paraId="64051D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85" w:type="dxa"/>
            <w:tcBorders>
              <w:top w:val="nil"/>
              <w:left w:val="nil"/>
              <w:bottom w:val="nil"/>
              <w:right w:val="nil"/>
            </w:tcBorders>
            <w:vAlign w:val="center"/>
          </w:tcPr>
          <w:p w14:paraId="0CB5609B">
            <w:pPr>
              <w:widowControl/>
              <w:spacing w:line="360" w:lineRule="auto"/>
              <w:rPr>
                <w:rFonts w:hint="default" w:ascii="Times New Roman" w:hAnsi="Times New Roman" w:eastAsia="宋体" w:cs="Times New Roman"/>
                <w:color w:val="000000"/>
                <w:kern w:val="0"/>
                <w:sz w:val="24"/>
                <w:szCs w:val="24"/>
              </w:rPr>
            </w:pPr>
            <w:r>
              <w:rPr>
                <w:rFonts w:hint="default" w:ascii="Times New Roman" w:hAnsi="Times New Roman" w:eastAsia="宋体" w:cs="Times New Roman"/>
                <w:color w:val="000000"/>
                <w:kern w:val="0"/>
                <w:sz w:val="24"/>
                <w:szCs w:val="24"/>
              </w:rPr>
              <w:t>邮编：100176</w:t>
            </w:r>
          </w:p>
        </w:tc>
        <w:tc>
          <w:tcPr>
            <w:tcW w:w="4331" w:type="dxa"/>
            <w:tcBorders>
              <w:top w:val="nil"/>
              <w:left w:val="nil"/>
              <w:bottom w:val="nil"/>
              <w:right w:val="nil"/>
            </w:tcBorders>
            <w:vAlign w:val="center"/>
          </w:tcPr>
          <w:p w14:paraId="7299C4FC">
            <w:pPr>
              <w:widowControl/>
              <w:spacing w:line="360" w:lineRule="auto"/>
              <w:rPr>
                <w:rFonts w:hint="default" w:ascii="Times New Roman" w:hAnsi="Times New Roman" w:eastAsia="宋体" w:cs="Times New Roman"/>
                <w:color w:val="000000"/>
                <w:kern w:val="0"/>
                <w:sz w:val="24"/>
                <w:szCs w:val="24"/>
              </w:rPr>
            </w:pPr>
            <w:r>
              <w:rPr>
                <w:rFonts w:hint="default" w:ascii="Times New Roman" w:hAnsi="Times New Roman" w:eastAsia="宋体" w:cs="Times New Roman"/>
                <w:color w:val="000000"/>
                <w:kern w:val="0"/>
                <w:sz w:val="24"/>
                <w:szCs w:val="24"/>
              </w:rPr>
              <w:t>邮编：100176</w:t>
            </w:r>
          </w:p>
        </w:tc>
      </w:tr>
      <w:tr w14:paraId="5F0BE9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85" w:type="dxa"/>
            <w:tcBorders>
              <w:top w:val="nil"/>
              <w:left w:val="nil"/>
              <w:bottom w:val="nil"/>
              <w:right w:val="nil"/>
            </w:tcBorders>
            <w:vAlign w:val="center"/>
          </w:tcPr>
          <w:p w14:paraId="33581B02">
            <w:pPr>
              <w:widowControl/>
              <w:spacing w:line="360" w:lineRule="auto"/>
              <w:rPr>
                <w:rFonts w:hint="default" w:ascii="Times New Roman" w:hAnsi="Times New Roman" w:eastAsia="宋体" w:cs="Times New Roman"/>
                <w:color w:val="000000"/>
                <w:kern w:val="0"/>
                <w:sz w:val="24"/>
                <w:szCs w:val="24"/>
                <w:lang w:val="en-US" w:eastAsia="zh-CN"/>
              </w:rPr>
            </w:pPr>
            <w:r>
              <w:rPr>
                <w:rFonts w:hint="default" w:ascii="Times New Roman" w:hAnsi="Times New Roman" w:eastAsia="宋体" w:cs="Times New Roman"/>
                <w:color w:val="000000"/>
                <w:kern w:val="0"/>
                <w:sz w:val="24"/>
                <w:szCs w:val="24"/>
              </w:rPr>
              <w:t>地址：</w:t>
            </w:r>
            <w:r>
              <w:rPr>
                <w:rFonts w:hint="eastAsia" w:ascii="Times New Roman" w:hAnsi="Times New Roman" w:eastAsia="宋体" w:cs="Times New Roman"/>
                <w:color w:val="000000"/>
                <w:kern w:val="0"/>
                <w:sz w:val="24"/>
                <w:szCs w:val="24"/>
                <w:lang w:val="en-US" w:eastAsia="zh-CN"/>
              </w:rPr>
              <w:t>北京经济技术开发区康定街1号2幢3层</w:t>
            </w:r>
          </w:p>
        </w:tc>
        <w:tc>
          <w:tcPr>
            <w:tcW w:w="4331" w:type="dxa"/>
            <w:tcBorders>
              <w:top w:val="nil"/>
              <w:left w:val="nil"/>
              <w:bottom w:val="nil"/>
              <w:right w:val="nil"/>
            </w:tcBorders>
            <w:vAlign w:val="center"/>
          </w:tcPr>
          <w:p w14:paraId="68B380AE">
            <w:pPr>
              <w:widowControl/>
              <w:spacing w:line="360" w:lineRule="auto"/>
              <w:rPr>
                <w:rFonts w:hint="default" w:ascii="Times New Roman" w:hAnsi="Times New Roman" w:eastAsia="宋体" w:cs="Times New Roman"/>
                <w:color w:val="000000"/>
                <w:kern w:val="0"/>
                <w:sz w:val="24"/>
                <w:szCs w:val="24"/>
              </w:rPr>
            </w:pPr>
            <w:r>
              <w:rPr>
                <w:rFonts w:hint="default" w:ascii="Times New Roman" w:hAnsi="Times New Roman" w:eastAsia="宋体" w:cs="Times New Roman"/>
                <w:color w:val="000000"/>
                <w:kern w:val="0"/>
                <w:sz w:val="24"/>
                <w:szCs w:val="24"/>
              </w:rPr>
              <w:t>地址：北京经济技术开发区康定街1号国盛科技园8幢二层北侧</w:t>
            </w:r>
          </w:p>
        </w:tc>
      </w:tr>
    </w:tbl>
    <w:p w14:paraId="10334DC3">
      <w:pPr>
        <w:pStyle w:val="2"/>
        <w:rPr>
          <w:rFonts w:hint="eastAsia" w:ascii="Times New Roman" w:hAnsi="Times New Roman" w:eastAsia="宋体" w:cs="Times New Roman"/>
          <w:b/>
          <w:bCs w:val="0"/>
          <w:sz w:val="28"/>
          <w:szCs w:val="28"/>
          <w:lang w:eastAsia="zh-CN"/>
        </w:rPr>
      </w:pPr>
    </w:p>
    <w:p w14:paraId="40A8487D">
      <w:pPr>
        <w:rPr>
          <w:rFonts w:hint="eastAsia"/>
          <w:lang w:eastAsia="zh-CN"/>
        </w:rPr>
        <w:sectPr>
          <w:footerReference r:id="rId3" w:type="even"/>
          <w:pgSz w:w="11907" w:h="16840"/>
          <w:pgMar w:top="1304" w:right="1418" w:bottom="1304" w:left="1418" w:header="284" w:footer="851" w:gutter="0"/>
          <w:pgBorders>
            <w:top w:val="none" w:sz="0" w:space="0"/>
            <w:left w:val="none" w:sz="0" w:space="0"/>
            <w:bottom w:val="none" w:sz="0" w:space="0"/>
            <w:right w:val="none" w:sz="0" w:space="0"/>
          </w:pgBorders>
          <w:pgNumType w:start="1"/>
          <w:cols w:space="720" w:num="1"/>
          <w:docGrid w:linePitch="286" w:charSpace="0"/>
        </w:sectPr>
      </w:pPr>
    </w:p>
    <w:p w14:paraId="7361AF05">
      <w:pPr>
        <w:pStyle w:val="2"/>
        <w:rPr>
          <w:rFonts w:hint="default" w:ascii="Times New Roman" w:hAnsi="Times New Roman" w:eastAsia="宋体" w:cs="Times New Roman"/>
          <w:b/>
          <w:bCs w:val="0"/>
          <w:sz w:val="28"/>
          <w:szCs w:val="28"/>
        </w:rPr>
      </w:pPr>
      <w:r>
        <w:rPr>
          <w:rFonts w:hint="default" w:ascii="Times New Roman" w:hAnsi="Times New Roman" w:eastAsia="宋体" w:cs="Times New Roman"/>
          <w:b/>
          <w:bCs w:val="0"/>
          <w:sz w:val="28"/>
          <w:szCs w:val="28"/>
        </w:rPr>
        <w:t>表一</w:t>
      </w:r>
      <w:bookmarkEnd w:id="0"/>
    </w:p>
    <w:tbl>
      <w:tblPr>
        <w:tblStyle w:val="29"/>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306"/>
        <w:gridCol w:w="1424"/>
        <w:gridCol w:w="1182"/>
        <w:gridCol w:w="985"/>
        <w:gridCol w:w="1170"/>
        <w:gridCol w:w="307"/>
        <w:gridCol w:w="1421"/>
        <w:gridCol w:w="1492"/>
      </w:tblGrid>
      <w:tr w14:paraId="06E064A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03" w:type="pct"/>
            <w:vAlign w:val="center"/>
          </w:tcPr>
          <w:p w14:paraId="5519D6D4">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建设项目名称</w:t>
            </w:r>
          </w:p>
        </w:tc>
        <w:tc>
          <w:tcPr>
            <w:tcW w:w="4296" w:type="pct"/>
            <w:gridSpan w:val="7"/>
            <w:vAlign w:val="center"/>
          </w:tcPr>
          <w:p w14:paraId="6462F0C1">
            <w:pPr>
              <w:spacing w:before="80" w:after="80"/>
              <w:jc w:val="center"/>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免疫细胞制剂质检实验室项目</w:t>
            </w:r>
          </w:p>
        </w:tc>
      </w:tr>
      <w:tr w14:paraId="5667A09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03" w:type="pct"/>
            <w:vAlign w:val="center"/>
          </w:tcPr>
          <w:p w14:paraId="114D9C1A">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建设单位名称</w:t>
            </w:r>
          </w:p>
        </w:tc>
        <w:tc>
          <w:tcPr>
            <w:tcW w:w="4296" w:type="pct"/>
            <w:gridSpan w:val="7"/>
            <w:vAlign w:val="center"/>
          </w:tcPr>
          <w:p w14:paraId="068270D8">
            <w:pPr>
              <w:spacing w:before="80" w:after="80"/>
              <w:jc w:val="center"/>
              <w:rPr>
                <w:rFonts w:hint="default" w:ascii="Times New Roman" w:hAnsi="Times New Roman" w:eastAsia="宋体" w:cs="Times New Roman"/>
                <w:sz w:val="24"/>
                <w:szCs w:val="24"/>
                <w:lang w:eastAsia="zh-CN"/>
              </w:rPr>
            </w:pPr>
            <w:r>
              <w:rPr>
                <w:rFonts w:hint="default" w:ascii="Times New Roman" w:hAnsi="Times New Roman" w:eastAsia="宋体" w:cs="Times New Roman"/>
                <w:color w:val="auto"/>
                <w:sz w:val="24"/>
                <w:szCs w:val="24"/>
                <w:lang w:eastAsia="zh-CN"/>
              </w:rPr>
              <w:t>北京永泰生物制品有限公司</w:t>
            </w:r>
          </w:p>
        </w:tc>
      </w:tr>
      <w:tr w14:paraId="29DFB20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03" w:type="pct"/>
            <w:vAlign w:val="center"/>
          </w:tcPr>
          <w:p w14:paraId="50541101">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建设项目性质</w:t>
            </w:r>
          </w:p>
        </w:tc>
        <w:tc>
          <w:tcPr>
            <w:tcW w:w="4296" w:type="pct"/>
            <w:gridSpan w:val="7"/>
            <w:vAlign w:val="center"/>
          </w:tcPr>
          <w:p w14:paraId="10501871">
            <w:pPr>
              <w:spacing w:before="80" w:after="80"/>
              <w:jc w:val="center"/>
              <w:rPr>
                <w:rFonts w:hint="default" w:ascii="Times New Roman" w:hAnsi="Times New Roman" w:eastAsia="宋体" w:cs="Times New Roman"/>
                <w:bCs/>
                <w:sz w:val="24"/>
                <w:szCs w:val="24"/>
              </w:rPr>
            </w:pPr>
            <w:bookmarkStart w:id="23" w:name="_GoBack"/>
            <w:bookmarkEnd w:id="23"/>
            <w:r>
              <w:rPr>
                <w:rFonts w:hint="default" w:ascii="Times New Roman" w:hAnsi="Times New Roman" w:eastAsia="宋体" w:cs="Times New Roman"/>
                <w:bCs/>
                <w:sz w:val="24"/>
                <w:szCs w:val="24"/>
                <w:lang w:val="en-US" w:eastAsia="zh-CN"/>
              </w:rPr>
              <w:t>改扩</w:t>
            </w:r>
            <w:r>
              <w:rPr>
                <w:rFonts w:hint="default" w:ascii="Times New Roman" w:hAnsi="Times New Roman" w:eastAsia="宋体" w:cs="Times New Roman"/>
                <w:bCs/>
                <w:sz w:val="24"/>
                <w:szCs w:val="24"/>
              </w:rPr>
              <w:t>建</w:t>
            </w:r>
          </w:p>
        </w:tc>
      </w:tr>
      <w:tr w14:paraId="036C906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03" w:type="pct"/>
            <w:vAlign w:val="center"/>
          </w:tcPr>
          <w:p w14:paraId="34172ABC">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建设项目地址</w:t>
            </w:r>
          </w:p>
        </w:tc>
        <w:tc>
          <w:tcPr>
            <w:tcW w:w="4296" w:type="pct"/>
            <w:gridSpan w:val="7"/>
            <w:vAlign w:val="center"/>
          </w:tcPr>
          <w:p w14:paraId="68537D9B">
            <w:pPr>
              <w:spacing w:before="80" w:after="80"/>
              <w:jc w:val="center"/>
              <w:rPr>
                <w:rFonts w:hint="default" w:ascii="Times New Roman" w:hAnsi="Times New Roman" w:eastAsia="宋体" w:cs="Times New Roman"/>
                <w:sz w:val="24"/>
                <w:szCs w:val="24"/>
                <w:lang w:eastAsia="zh-CN"/>
              </w:rPr>
            </w:pPr>
            <w:r>
              <w:rPr>
                <w:rFonts w:hint="default" w:ascii="Times New Roman" w:hAnsi="Times New Roman" w:eastAsia="宋体" w:cs="Times New Roman"/>
                <w:color w:val="000000"/>
                <w:sz w:val="24"/>
                <w:szCs w:val="24"/>
                <w:lang w:eastAsia="zh-CN"/>
              </w:rPr>
              <w:t>北京经济技术开发区康定街1号2幢3层</w:t>
            </w:r>
          </w:p>
        </w:tc>
      </w:tr>
      <w:tr w14:paraId="13CE01A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50" w:hRule="atLeast"/>
          <w:jc w:val="center"/>
        </w:trPr>
        <w:tc>
          <w:tcPr>
            <w:tcW w:w="703" w:type="pct"/>
            <w:vAlign w:val="center"/>
          </w:tcPr>
          <w:p w14:paraId="24CDA6FE">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主要产品名称</w:t>
            </w:r>
          </w:p>
        </w:tc>
        <w:tc>
          <w:tcPr>
            <w:tcW w:w="4296" w:type="pct"/>
            <w:gridSpan w:val="7"/>
            <w:vAlign w:val="center"/>
          </w:tcPr>
          <w:p w14:paraId="53D64F83">
            <w:pPr>
              <w:spacing w:before="80" w:after="80"/>
              <w:jc w:val="both"/>
              <w:rPr>
                <w:rFonts w:hint="default" w:ascii="Times New Roman" w:hAnsi="Times New Roman" w:eastAsia="宋体" w:cs="Times New Roman"/>
                <w:snapToGrid/>
                <w:color w:val="auto"/>
                <w:spacing w:val="-4"/>
                <w:kern w:val="2"/>
                <w:sz w:val="24"/>
                <w:szCs w:val="24"/>
                <w:lang w:val="en-US" w:eastAsia="zh-CN" w:bidi="ar-SA"/>
              </w:rPr>
            </w:pPr>
            <w:r>
              <w:rPr>
                <w:rFonts w:hint="default" w:ascii="Times New Roman" w:hAnsi="Times New Roman" w:eastAsia="宋体" w:cs="Times New Roman"/>
                <w:color w:val="000000"/>
                <w:sz w:val="24"/>
                <w:szCs w:val="24"/>
                <w:lang w:val="en-US" w:eastAsia="zh-CN"/>
              </w:rPr>
              <w:t>对2万批次免疫细胞药物进行质检和品控的能力，只涉及</w:t>
            </w:r>
            <w:r>
              <w:rPr>
                <w:rFonts w:hint="default" w:ascii="Times New Roman" w:hAnsi="Times New Roman" w:eastAsia="宋体" w:cs="Times New Roman"/>
                <w:color w:val="000000"/>
                <w:sz w:val="24"/>
                <w:szCs w:val="24"/>
                <w:lang w:eastAsia="zh-CN"/>
              </w:rPr>
              <w:t>实验室项目，不涉及生产</w:t>
            </w:r>
          </w:p>
        </w:tc>
      </w:tr>
      <w:tr w14:paraId="5FD5D79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703" w:type="pct"/>
            <w:vAlign w:val="center"/>
          </w:tcPr>
          <w:p w14:paraId="6FD2FE63">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设计生产能力</w:t>
            </w:r>
          </w:p>
        </w:tc>
        <w:tc>
          <w:tcPr>
            <w:tcW w:w="4296" w:type="pct"/>
            <w:gridSpan w:val="7"/>
            <w:vAlign w:val="center"/>
          </w:tcPr>
          <w:p w14:paraId="6F4D4536">
            <w:pPr>
              <w:spacing w:before="80" w:after="80"/>
              <w:jc w:val="center"/>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color w:val="000000"/>
                <w:sz w:val="24"/>
                <w:szCs w:val="24"/>
                <w:lang w:val="en-US" w:eastAsia="zh-CN"/>
              </w:rPr>
              <w:t>对2万批次免疫细胞药物进行质检和品控的能力，只涉及实验室项目，不涉及生产</w:t>
            </w:r>
          </w:p>
        </w:tc>
      </w:tr>
      <w:tr w14:paraId="35089C3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03" w:type="pct"/>
            <w:vAlign w:val="center"/>
          </w:tcPr>
          <w:p w14:paraId="7622FDC1">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实际生产能力</w:t>
            </w:r>
          </w:p>
        </w:tc>
        <w:tc>
          <w:tcPr>
            <w:tcW w:w="4296" w:type="pct"/>
            <w:gridSpan w:val="7"/>
            <w:vAlign w:val="center"/>
          </w:tcPr>
          <w:p w14:paraId="04119721">
            <w:pPr>
              <w:spacing w:before="80" w:after="80"/>
              <w:jc w:val="center"/>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color w:val="000000"/>
                <w:sz w:val="24"/>
                <w:szCs w:val="24"/>
                <w:lang w:val="en-US" w:eastAsia="zh-CN"/>
              </w:rPr>
              <w:t>对2万批次免疫细胞药物进行质检和品控的能力，只涉及实验室项目，不涉及生产</w:t>
            </w:r>
          </w:p>
        </w:tc>
      </w:tr>
      <w:tr w14:paraId="3752DFC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98" w:hRule="atLeast"/>
          <w:jc w:val="center"/>
        </w:trPr>
        <w:tc>
          <w:tcPr>
            <w:tcW w:w="703" w:type="pct"/>
            <w:vAlign w:val="center"/>
          </w:tcPr>
          <w:p w14:paraId="23570D91">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建设项目</w:t>
            </w:r>
          </w:p>
          <w:p w14:paraId="0A026304">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环评时间</w:t>
            </w:r>
          </w:p>
        </w:tc>
        <w:tc>
          <w:tcPr>
            <w:tcW w:w="1403" w:type="pct"/>
            <w:gridSpan w:val="2"/>
            <w:vAlign w:val="center"/>
          </w:tcPr>
          <w:p w14:paraId="7A68065B">
            <w:pPr>
              <w:spacing w:before="80" w:after="8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2020</w:t>
            </w:r>
            <w:r>
              <w:rPr>
                <w:rFonts w:hint="default" w:ascii="Times New Roman" w:hAnsi="Times New Roman" w:eastAsia="宋体" w:cs="Times New Roman"/>
                <w:sz w:val="24"/>
                <w:szCs w:val="24"/>
              </w:rPr>
              <w:t>年</w:t>
            </w:r>
            <w:r>
              <w:rPr>
                <w:rFonts w:hint="default" w:ascii="Times New Roman" w:hAnsi="Times New Roman" w:eastAsia="宋体" w:cs="Times New Roman"/>
                <w:sz w:val="24"/>
                <w:szCs w:val="24"/>
                <w:lang w:val="en-US" w:eastAsia="zh-CN"/>
              </w:rPr>
              <w:t>12</w:t>
            </w:r>
            <w:r>
              <w:rPr>
                <w:rFonts w:hint="default" w:ascii="Times New Roman" w:hAnsi="Times New Roman" w:eastAsia="宋体" w:cs="Times New Roman"/>
                <w:sz w:val="24"/>
                <w:szCs w:val="24"/>
              </w:rPr>
              <w:t>月</w:t>
            </w:r>
          </w:p>
        </w:tc>
        <w:tc>
          <w:tcPr>
            <w:tcW w:w="1160" w:type="pct"/>
            <w:gridSpan w:val="2"/>
            <w:vAlign w:val="center"/>
          </w:tcPr>
          <w:p w14:paraId="57CA0F35">
            <w:pPr>
              <w:spacing w:before="80" w:after="80"/>
              <w:jc w:val="center"/>
              <w:rPr>
                <w:rFonts w:hint="default" w:ascii="Times New Roman" w:hAnsi="Times New Roman" w:eastAsia="宋体" w:cs="Times New Roman"/>
                <w:sz w:val="24"/>
                <w:szCs w:val="24"/>
              </w:rPr>
            </w:pPr>
            <w:r>
              <w:rPr>
                <w:rFonts w:hint="default" w:ascii="Times New Roman" w:hAnsi="Times New Roman" w:eastAsia="宋体" w:cs="Times New Roman"/>
                <w:b/>
                <w:color w:val="000000" w:themeColor="text1"/>
                <w:sz w:val="24"/>
                <w:szCs w:val="24"/>
                <w14:textFill>
                  <w14:solidFill>
                    <w14:schemeClr w14:val="tx1"/>
                  </w14:solidFill>
                </w14:textFill>
              </w:rPr>
              <w:t>开工建设时间</w:t>
            </w:r>
          </w:p>
        </w:tc>
        <w:tc>
          <w:tcPr>
            <w:tcW w:w="1733" w:type="pct"/>
            <w:gridSpan w:val="3"/>
            <w:vAlign w:val="center"/>
          </w:tcPr>
          <w:p w14:paraId="224F2916">
            <w:pPr>
              <w:spacing w:before="80" w:after="8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highlight w:val="none"/>
              </w:rPr>
              <w:t>20</w:t>
            </w:r>
            <w:r>
              <w:rPr>
                <w:rFonts w:hint="default" w:ascii="Times New Roman" w:hAnsi="Times New Roman" w:eastAsia="宋体" w:cs="Times New Roman"/>
                <w:sz w:val="24"/>
                <w:szCs w:val="24"/>
                <w:highlight w:val="none"/>
                <w:lang w:val="en-US" w:eastAsia="zh-CN"/>
              </w:rPr>
              <w:t>25</w:t>
            </w:r>
            <w:r>
              <w:rPr>
                <w:rFonts w:hint="default" w:ascii="Times New Roman" w:hAnsi="Times New Roman" w:eastAsia="宋体" w:cs="Times New Roman"/>
                <w:sz w:val="24"/>
                <w:szCs w:val="24"/>
                <w:highlight w:val="none"/>
              </w:rPr>
              <w:t>年</w:t>
            </w:r>
            <w:r>
              <w:rPr>
                <w:rFonts w:hint="default" w:ascii="Times New Roman" w:hAnsi="Times New Roman" w:eastAsia="宋体" w:cs="Times New Roman"/>
                <w:sz w:val="24"/>
                <w:szCs w:val="24"/>
                <w:highlight w:val="none"/>
                <w:lang w:val="en-US" w:eastAsia="zh-CN"/>
              </w:rPr>
              <w:t>6</w:t>
            </w:r>
            <w:r>
              <w:rPr>
                <w:rFonts w:hint="default" w:ascii="Times New Roman" w:hAnsi="Times New Roman" w:eastAsia="宋体" w:cs="Times New Roman"/>
                <w:sz w:val="24"/>
                <w:szCs w:val="24"/>
                <w:highlight w:val="none"/>
              </w:rPr>
              <w:t>月</w:t>
            </w:r>
            <w:r>
              <w:rPr>
                <w:rFonts w:hint="default" w:ascii="Times New Roman" w:hAnsi="Times New Roman" w:eastAsia="宋体" w:cs="Times New Roman"/>
                <w:sz w:val="24"/>
                <w:szCs w:val="24"/>
                <w:highlight w:val="none"/>
                <w:lang w:val="en-US" w:eastAsia="zh-CN"/>
              </w:rPr>
              <w:t>5</w:t>
            </w:r>
            <w:r>
              <w:rPr>
                <w:rFonts w:hint="default" w:ascii="Times New Roman" w:hAnsi="Times New Roman" w:eastAsia="宋体" w:cs="Times New Roman"/>
                <w:sz w:val="24"/>
                <w:szCs w:val="24"/>
                <w:highlight w:val="none"/>
              </w:rPr>
              <w:t>日</w:t>
            </w:r>
          </w:p>
        </w:tc>
      </w:tr>
      <w:tr w14:paraId="6F7D49A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51" w:hRule="atLeast"/>
          <w:jc w:val="center"/>
        </w:trPr>
        <w:tc>
          <w:tcPr>
            <w:tcW w:w="703" w:type="pct"/>
            <w:vAlign w:val="center"/>
          </w:tcPr>
          <w:p w14:paraId="602591FE">
            <w:pPr>
              <w:spacing w:before="80" w:after="80"/>
              <w:jc w:val="center"/>
              <w:rPr>
                <w:rFonts w:hint="default" w:ascii="Times New Roman" w:hAnsi="Times New Roman" w:eastAsia="宋体" w:cs="Times New Roman"/>
                <w:b/>
                <w:sz w:val="24"/>
                <w:szCs w:val="24"/>
                <w:highlight w:val="none"/>
              </w:rPr>
            </w:pPr>
            <w:r>
              <w:rPr>
                <w:rFonts w:hint="default" w:ascii="Times New Roman" w:hAnsi="Times New Roman" w:eastAsia="宋体" w:cs="Times New Roman"/>
                <w:b/>
                <w:color w:val="000000" w:themeColor="text1"/>
                <w:sz w:val="24"/>
                <w:szCs w:val="24"/>
                <w:highlight w:val="none"/>
                <w14:textFill>
                  <w14:solidFill>
                    <w14:schemeClr w14:val="tx1"/>
                  </w14:solidFill>
                </w14:textFill>
              </w:rPr>
              <w:t>调试时间</w:t>
            </w:r>
          </w:p>
        </w:tc>
        <w:tc>
          <w:tcPr>
            <w:tcW w:w="1403" w:type="pct"/>
            <w:gridSpan w:val="2"/>
            <w:vAlign w:val="center"/>
          </w:tcPr>
          <w:p w14:paraId="76C50AA9">
            <w:pPr>
              <w:spacing w:before="80" w:after="80"/>
              <w:jc w:val="center"/>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rPr>
              <w:t>202</w:t>
            </w:r>
            <w:r>
              <w:rPr>
                <w:rFonts w:hint="default" w:ascii="Times New Roman" w:hAnsi="Times New Roman" w:eastAsia="宋体" w:cs="Times New Roman"/>
                <w:sz w:val="24"/>
                <w:szCs w:val="24"/>
                <w:highlight w:val="none"/>
                <w:lang w:val="en-US" w:eastAsia="zh-CN"/>
              </w:rPr>
              <w:t>5</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8</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20</w:t>
            </w:r>
            <w:r>
              <w:rPr>
                <w:rFonts w:hint="default" w:ascii="Times New Roman" w:hAnsi="Times New Roman" w:eastAsia="宋体" w:cs="Times New Roman"/>
                <w:sz w:val="24"/>
                <w:szCs w:val="24"/>
                <w:highlight w:val="none"/>
              </w:rPr>
              <w:t>-202</w:t>
            </w:r>
            <w:r>
              <w:rPr>
                <w:rFonts w:hint="default" w:ascii="Times New Roman" w:hAnsi="Times New Roman" w:eastAsia="宋体" w:cs="Times New Roman"/>
                <w:sz w:val="24"/>
                <w:szCs w:val="24"/>
                <w:highlight w:val="none"/>
                <w:lang w:val="en-US" w:eastAsia="zh-CN"/>
              </w:rPr>
              <w:t>5</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9</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15</w:t>
            </w:r>
          </w:p>
        </w:tc>
        <w:tc>
          <w:tcPr>
            <w:tcW w:w="1160" w:type="pct"/>
            <w:gridSpan w:val="2"/>
            <w:vAlign w:val="center"/>
          </w:tcPr>
          <w:p w14:paraId="294C1662">
            <w:pPr>
              <w:spacing w:before="80" w:after="80"/>
              <w:jc w:val="center"/>
              <w:rPr>
                <w:rFonts w:hint="default" w:ascii="Times New Roman" w:hAnsi="Times New Roman" w:eastAsia="宋体" w:cs="Times New Roman"/>
                <w:b/>
                <w:color w:val="000000" w:themeColor="text1"/>
                <w:sz w:val="24"/>
                <w:szCs w:val="24"/>
                <w:highlight w:val="none"/>
                <w14:textFill>
                  <w14:solidFill>
                    <w14:schemeClr w14:val="tx1"/>
                  </w14:solidFill>
                </w14:textFill>
              </w:rPr>
            </w:pPr>
            <w:r>
              <w:rPr>
                <w:rFonts w:hint="default" w:ascii="Times New Roman" w:hAnsi="Times New Roman" w:eastAsia="宋体" w:cs="Times New Roman"/>
                <w:b/>
                <w:color w:val="000000" w:themeColor="text1"/>
                <w:sz w:val="24"/>
                <w:szCs w:val="24"/>
                <w:highlight w:val="none"/>
                <w14:textFill>
                  <w14:solidFill>
                    <w14:schemeClr w14:val="tx1"/>
                  </w14:solidFill>
                </w14:textFill>
              </w:rPr>
              <w:t>验收现场</w:t>
            </w:r>
          </w:p>
          <w:p w14:paraId="477C0845">
            <w:pPr>
              <w:spacing w:before="80" w:after="80"/>
              <w:jc w:val="center"/>
              <w:rPr>
                <w:rFonts w:hint="default" w:ascii="Times New Roman" w:hAnsi="Times New Roman" w:eastAsia="宋体" w:cs="Times New Roman"/>
                <w:b/>
                <w:sz w:val="24"/>
                <w:szCs w:val="24"/>
                <w:highlight w:val="none"/>
              </w:rPr>
            </w:pPr>
            <w:r>
              <w:rPr>
                <w:rFonts w:hint="default" w:ascii="Times New Roman" w:hAnsi="Times New Roman" w:eastAsia="宋体" w:cs="Times New Roman"/>
                <w:b/>
                <w:color w:val="000000" w:themeColor="text1"/>
                <w:sz w:val="24"/>
                <w:szCs w:val="24"/>
                <w:highlight w:val="none"/>
                <w14:textFill>
                  <w14:solidFill>
                    <w14:schemeClr w14:val="tx1"/>
                  </w14:solidFill>
                </w14:textFill>
              </w:rPr>
              <w:t>检测时间</w:t>
            </w:r>
          </w:p>
        </w:tc>
        <w:tc>
          <w:tcPr>
            <w:tcW w:w="1733" w:type="pct"/>
            <w:gridSpan w:val="3"/>
            <w:vAlign w:val="center"/>
          </w:tcPr>
          <w:p w14:paraId="67CF28CE">
            <w:pPr>
              <w:spacing w:before="80" w:after="80"/>
              <w:jc w:val="center"/>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rPr>
              <w:t>202</w:t>
            </w:r>
            <w:r>
              <w:rPr>
                <w:rFonts w:hint="default" w:ascii="Times New Roman" w:hAnsi="Times New Roman" w:eastAsia="宋体" w:cs="Times New Roman"/>
                <w:sz w:val="24"/>
                <w:szCs w:val="24"/>
                <w:highlight w:val="none"/>
                <w:lang w:val="en-US" w:eastAsia="zh-CN"/>
              </w:rPr>
              <w:t>5</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9.20</w:t>
            </w:r>
            <w:r>
              <w:rPr>
                <w:rFonts w:hint="default" w:ascii="Times New Roman" w:hAnsi="Times New Roman" w:eastAsia="宋体" w:cs="Times New Roman"/>
                <w:sz w:val="24"/>
                <w:szCs w:val="24"/>
                <w:highlight w:val="none"/>
              </w:rPr>
              <w:t>-202</w:t>
            </w:r>
            <w:r>
              <w:rPr>
                <w:rFonts w:hint="default" w:ascii="Times New Roman" w:hAnsi="Times New Roman" w:eastAsia="宋体" w:cs="Times New Roman"/>
                <w:sz w:val="24"/>
                <w:szCs w:val="24"/>
                <w:highlight w:val="none"/>
                <w:lang w:val="en-US" w:eastAsia="zh-CN"/>
              </w:rPr>
              <w:t>5</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9</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21、2025.11.3-2025.11.4、2025.10.25-2025.10.26</w:t>
            </w:r>
          </w:p>
        </w:tc>
      </w:tr>
      <w:tr w14:paraId="551DA78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8" w:hRule="atLeast"/>
          <w:jc w:val="center"/>
        </w:trPr>
        <w:tc>
          <w:tcPr>
            <w:tcW w:w="703" w:type="pct"/>
            <w:vAlign w:val="center"/>
          </w:tcPr>
          <w:p w14:paraId="54C38E35">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环评报告表</w:t>
            </w:r>
          </w:p>
          <w:p w14:paraId="6355E2B5">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审批部门</w:t>
            </w:r>
          </w:p>
        </w:tc>
        <w:tc>
          <w:tcPr>
            <w:tcW w:w="1403" w:type="pct"/>
            <w:gridSpan w:val="2"/>
            <w:vAlign w:val="center"/>
          </w:tcPr>
          <w:p w14:paraId="1D09B766">
            <w:pPr>
              <w:spacing w:before="80" w:after="80"/>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rPr>
              <w:t>北京经济技术开发区</w:t>
            </w:r>
            <w:r>
              <w:rPr>
                <w:rFonts w:hint="default" w:ascii="Times New Roman" w:hAnsi="Times New Roman" w:eastAsia="宋体" w:cs="Times New Roman"/>
                <w:sz w:val="24"/>
                <w:szCs w:val="24"/>
                <w:lang w:val="en-US" w:eastAsia="zh-CN"/>
              </w:rPr>
              <w:t>行政审批局</w:t>
            </w:r>
          </w:p>
        </w:tc>
        <w:tc>
          <w:tcPr>
            <w:tcW w:w="1160" w:type="pct"/>
            <w:gridSpan w:val="2"/>
            <w:vAlign w:val="center"/>
          </w:tcPr>
          <w:p w14:paraId="6B7B4724">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环评报告表</w:t>
            </w:r>
          </w:p>
          <w:p w14:paraId="28264BB5">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编制单位</w:t>
            </w:r>
          </w:p>
        </w:tc>
        <w:tc>
          <w:tcPr>
            <w:tcW w:w="1733" w:type="pct"/>
            <w:gridSpan w:val="3"/>
            <w:vAlign w:val="center"/>
          </w:tcPr>
          <w:p w14:paraId="4BA9DAFE">
            <w:pPr>
              <w:spacing w:before="80" w:after="80"/>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北京智郡泰翔环保工程有限责任公司</w:t>
            </w:r>
          </w:p>
        </w:tc>
      </w:tr>
      <w:tr w14:paraId="563E2FA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8" w:hRule="atLeast"/>
          <w:jc w:val="center"/>
        </w:trPr>
        <w:tc>
          <w:tcPr>
            <w:tcW w:w="703" w:type="pct"/>
            <w:vAlign w:val="center"/>
          </w:tcPr>
          <w:p w14:paraId="1F67098C">
            <w:pPr>
              <w:spacing w:before="80" w:after="80"/>
              <w:jc w:val="center"/>
              <w:rPr>
                <w:rFonts w:hint="default" w:ascii="Times New Roman" w:hAnsi="Times New Roman" w:eastAsia="宋体" w:cs="Times New Roman"/>
                <w:b/>
                <w:sz w:val="24"/>
                <w:szCs w:val="24"/>
                <w:highlight w:val="none"/>
                <w:lang w:val="en-US" w:eastAsia="zh-CN"/>
              </w:rPr>
            </w:pPr>
            <w:r>
              <w:rPr>
                <w:rFonts w:hint="default" w:ascii="Times New Roman" w:hAnsi="Times New Roman" w:eastAsia="宋体" w:cs="Times New Roman"/>
                <w:b/>
                <w:sz w:val="24"/>
                <w:szCs w:val="24"/>
                <w:highlight w:val="none"/>
                <w:lang w:val="en-US" w:eastAsia="zh-CN"/>
              </w:rPr>
              <w:t>环保设施</w:t>
            </w:r>
          </w:p>
          <w:p w14:paraId="39C2808A">
            <w:pPr>
              <w:spacing w:before="80" w:after="80"/>
              <w:jc w:val="center"/>
              <w:rPr>
                <w:rFonts w:hint="default" w:ascii="Times New Roman" w:hAnsi="Times New Roman" w:eastAsia="宋体" w:cs="Times New Roman"/>
                <w:b/>
                <w:sz w:val="24"/>
                <w:szCs w:val="24"/>
                <w:highlight w:val="none"/>
                <w:lang w:val="en-US" w:eastAsia="zh-CN"/>
              </w:rPr>
            </w:pPr>
            <w:r>
              <w:rPr>
                <w:rFonts w:hint="default" w:ascii="Times New Roman" w:hAnsi="Times New Roman" w:eastAsia="宋体" w:cs="Times New Roman"/>
                <w:b/>
                <w:sz w:val="24"/>
                <w:szCs w:val="24"/>
                <w:highlight w:val="none"/>
                <w:lang w:val="en-US" w:eastAsia="zh-CN"/>
              </w:rPr>
              <w:t>设计单位</w:t>
            </w:r>
          </w:p>
        </w:tc>
        <w:tc>
          <w:tcPr>
            <w:tcW w:w="1403" w:type="pct"/>
            <w:gridSpan w:val="2"/>
            <w:vAlign w:val="center"/>
          </w:tcPr>
          <w:p w14:paraId="69BA7603">
            <w:pPr>
              <w:spacing w:before="80" w:after="80"/>
              <w:jc w:val="center"/>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1160" w:type="pct"/>
            <w:gridSpan w:val="2"/>
            <w:vAlign w:val="center"/>
          </w:tcPr>
          <w:p w14:paraId="0BE578B6">
            <w:pPr>
              <w:spacing w:before="80" w:after="80"/>
              <w:jc w:val="center"/>
              <w:rPr>
                <w:rFonts w:hint="default" w:ascii="Times New Roman" w:hAnsi="Times New Roman" w:eastAsia="宋体" w:cs="Times New Roman"/>
                <w:b/>
                <w:sz w:val="24"/>
                <w:szCs w:val="24"/>
                <w:highlight w:val="none"/>
                <w:lang w:val="en-US" w:eastAsia="zh-CN"/>
              </w:rPr>
            </w:pPr>
            <w:r>
              <w:rPr>
                <w:rFonts w:hint="default" w:ascii="Times New Roman" w:hAnsi="Times New Roman" w:eastAsia="宋体" w:cs="Times New Roman"/>
                <w:b/>
                <w:sz w:val="24"/>
                <w:szCs w:val="24"/>
                <w:highlight w:val="none"/>
                <w:lang w:val="en-US" w:eastAsia="zh-CN"/>
              </w:rPr>
              <w:t>环保设施</w:t>
            </w:r>
          </w:p>
          <w:p w14:paraId="68D6DB42">
            <w:pPr>
              <w:spacing w:before="80" w:after="80"/>
              <w:jc w:val="center"/>
              <w:rPr>
                <w:rFonts w:hint="default" w:ascii="Times New Roman" w:hAnsi="Times New Roman" w:eastAsia="宋体" w:cs="Times New Roman"/>
                <w:b/>
                <w:sz w:val="24"/>
                <w:szCs w:val="24"/>
                <w:highlight w:val="none"/>
                <w:lang w:val="en-US" w:eastAsia="zh-CN"/>
              </w:rPr>
            </w:pPr>
            <w:r>
              <w:rPr>
                <w:rFonts w:hint="default" w:ascii="Times New Roman" w:hAnsi="Times New Roman" w:eastAsia="宋体" w:cs="Times New Roman"/>
                <w:b/>
                <w:sz w:val="24"/>
                <w:szCs w:val="24"/>
                <w:highlight w:val="none"/>
                <w:lang w:val="en-US" w:eastAsia="zh-CN"/>
              </w:rPr>
              <w:t>施工单位</w:t>
            </w:r>
          </w:p>
        </w:tc>
        <w:tc>
          <w:tcPr>
            <w:tcW w:w="1733" w:type="pct"/>
            <w:gridSpan w:val="3"/>
            <w:vAlign w:val="center"/>
          </w:tcPr>
          <w:p w14:paraId="39EDFECB">
            <w:pPr>
              <w:spacing w:before="80" w:after="80"/>
              <w:jc w:val="center"/>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r>
      <w:tr w14:paraId="5CCC929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03" w:type="pct"/>
            <w:vAlign w:val="center"/>
          </w:tcPr>
          <w:p w14:paraId="713366CE">
            <w:pPr>
              <w:spacing w:before="80" w:after="80"/>
              <w:jc w:val="center"/>
              <w:rPr>
                <w:rFonts w:hint="default" w:ascii="Times New Roman" w:hAnsi="Times New Roman" w:eastAsia="宋体" w:cs="Times New Roman"/>
                <w:bCs/>
                <w:sz w:val="24"/>
                <w:szCs w:val="24"/>
              </w:rPr>
            </w:pPr>
            <w:r>
              <w:rPr>
                <w:rFonts w:hint="default" w:ascii="Times New Roman" w:hAnsi="Times New Roman" w:eastAsia="宋体" w:cs="Times New Roman"/>
                <w:b/>
                <w:sz w:val="24"/>
                <w:szCs w:val="24"/>
              </w:rPr>
              <w:t>投资总概算</w:t>
            </w:r>
          </w:p>
        </w:tc>
        <w:tc>
          <w:tcPr>
            <w:tcW w:w="766" w:type="pct"/>
            <w:vAlign w:val="center"/>
          </w:tcPr>
          <w:p w14:paraId="191E42D5">
            <w:pPr>
              <w:spacing w:before="80" w:after="80"/>
              <w:jc w:val="center"/>
              <w:rPr>
                <w:rFonts w:hint="default" w:ascii="Times New Roman" w:hAnsi="Times New Roman" w:eastAsia="宋体" w:cs="Times New Roman"/>
                <w:bCs/>
                <w:sz w:val="24"/>
                <w:szCs w:val="24"/>
                <w:lang w:val="en-US" w:eastAsia="zh-CN"/>
              </w:rPr>
            </w:pPr>
            <w:r>
              <w:rPr>
                <w:rFonts w:hint="default" w:ascii="Times New Roman" w:hAnsi="Times New Roman" w:eastAsia="宋体" w:cs="Times New Roman"/>
                <w:bCs/>
                <w:sz w:val="24"/>
                <w:szCs w:val="24"/>
                <w:lang w:val="en-US" w:eastAsia="zh-CN"/>
              </w:rPr>
              <w:t>2000万元</w:t>
            </w:r>
          </w:p>
        </w:tc>
        <w:tc>
          <w:tcPr>
            <w:tcW w:w="1166" w:type="pct"/>
            <w:gridSpan w:val="2"/>
            <w:vAlign w:val="center"/>
          </w:tcPr>
          <w:p w14:paraId="322E7ECA">
            <w:pPr>
              <w:spacing w:before="80" w:after="80"/>
              <w:jc w:val="center"/>
              <w:rPr>
                <w:rFonts w:hint="default" w:ascii="Times New Roman" w:hAnsi="Times New Roman" w:eastAsia="宋体" w:cs="Times New Roman"/>
                <w:bCs/>
                <w:sz w:val="24"/>
                <w:szCs w:val="24"/>
                <w:lang w:val="en-US" w:eastAsia="zh-CN"/>
              </w:rPr>
            </w:pPr>
            <w:r>
              <w:rPr>
                <w:rFonts w:hint="default" w:ascii="Times New Roman" w:hAnsi="Times New Roman" w:eastAsia="宋体" w:cs="Times New Roman"/>
                <w:b/>
                <w:sz w:val="24"/>
                <w:szCs w:val="24"/>
                <w:lang w:val="en-US" w:eastAsia="zh-CN"/>
              </w:rPr>
              <w:t>环保投资总概算</w:t>
            </w:r>
          </w:p>
        </w:tc>
        <w:tc>
          <w:tcPr>
            <w:tcW w:w="795" w:type="pct"/>
            <w:gridSpan w:val="2"/>
            <w:vAlign w:val="center"/>
          </w:tcPr>
          <w:p w14:paraId="7A38872C">
            <w:pPr>
              <w:spacing w:before="80" w:after="80"/>
              <w:jc w:val="center"/>
              <w:rPr>
                <w:rFonts w:hint="default" w:ascii="Times New Roman" w:hAnsi="Times New Roman" w:eastAsia="宋体" w:cs="Times New Roman"/>
                <w:bCs/>
                <w:sz w:val="24"/>
                <w:szCs w:val="24"/>
                <w:lang w:val="en-US" w:eastAsia="zh-CN"/>
              </w:rPr>
            </w:pPr>
            <w:r>
              <w:rPr>
                <w:rFonts w:hint="default" w:ascii="Times New Roman" w:hAnsi="Times New Roman" w:eastAsia="宋体" w:cs="Times New Roman"/>
                <w:bCs/>
                <w:sz w:val="24"/>
                <w:szCs w:val="24"/>
                <w:lang w:val="en-US" w:eastAsia="zh-CN"/>
              </w:rPr>
              <w:t>10万元</w:t>
            </w:r>
          </w:p>
        </w:tc>
        <w:tc>
          <w:tcPr>
            <w:tcW w:w="765" w:type="pct"/>
            <w:vAlign w:val="center"/>
          </w:tcPr>
          <w:p w14:paraId="7BE1E390">
            <w:pPr>
              <w:spacing w:before="80" w:after="80"/>
              <w:jc w:val="center"/>
              <w:rPr>
                <w:rFonts w:hint="default" w:ascii="Times New Roman" w:hAnsi="Times New Roman" w:eastAsia="宋体" w:cs="Times New Roman"/>
                <w:bCs/>
                <w:sz w:val="24"/>
                <w:szCs w:val="24"/>
                <w:lang w:val="en-US" w:eastAsia="zh-CN"/>
              </w:rPr>
            </w:pPr>
            <w:r>
              <w:rPr>
                <w:rFonts w:hint="default" w:ascii="Times New Roman" w:hAnsi="Times New Roman" w:eastAsia="宋体" w:cs="Times New Roman"/>
                <w:b/>
                <w:sz w:val="24"/>
                <w:szCs w:val="24"/>
                <w:lang w:val="en-US" w:eastAsia="zh-CN"/>
              </w:rPr>
              <w:t>占比</w:t>
            </w:r>
          </w:p>
        </w:tc>
        <w:tc>
          <w:tcPr>
            <w:tcW w:w="803" w:type="pct"/>
            <w:vAlign w:val="center"/>
          </w:tcPr>
          <w:p w14:paraId="494489B4">
            <w:pPr>
              <w:spacing w:before="80" w:after="80"/>
              <w:jc w:val="center"/>
              <w:rPr>
                <w:rFonts w:hint="default" w:ascii="Times New Roman" w:hAnsi="Times New Roman" w:eastAsia="宋体" w:cs="Times New Roman"/>
                <w:bCs/>
                <w:sz w:val="24"/>
                <w:szCs w:val="24"/>
                <w:lang w:val="en-US" w:eastAsia="zh-CN"/>
              </w:rPr>
            </w:pPr>
            <w:r>
              <w:rPr>
                <w:rFonts w:hint="default" w:ascii="Times New Roman" w:hAnsi="Times New Roman" w:eastAsia="宋体" w:cs="Times New Roman"/>
                <w:bCs/>
                <w:sz w:val="24"/>
                <w:szCs w:val="24"/>
                <w:lang w:val="en-US" w:eastAsia="zh-CN"/>
              </w:rPr>
              <w:t>0.5%</w:t>
            </w:r>
          </w:p>
        </w:tc>
      </w:tr>
      <w:tr w14:paraId="51FD854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03" w:type="pct"/>
            <w:vAlign w:val="center"/>
          </w:tcPr>
          <w:p w14:paraId="647E3CE9">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实际总投资</w:t>
            </w:r>
          </w:p>
        </w:tc>
        <w:tc>
          <w:tcPr>
            <w:tcW w:w="766" w:type="pct"/>
            <w:vAlign w:val="center"/>
          </w:tcPr>
          <w:p w14:paraId="2CF7968E">
            <w:pPr>
              <w:spacing w:before="80" w:after="80"/>
              <w:jc w:val="center"/>
              <w:rPr>
                <w:rFonts w:hint="default" w:ascii="Times New Roman" w:hAnsi="Times New Roman" w:eastAsia="宋体" w:cs="Times New Roman"/>
                <w:bCs/>
                <w:sz w:val="24"/>
                <w:szCs w:val="24"/>
              </w:rPr>
            </w:pPr>
            <w:r>
              <w:rPr>
                <w:rFonts w:hint="default" w:ascii="Times New Roman" w:hAnsi="Times New Roman" w:eastAsia="宋体" w:cs="Times New Roman"/>
                <w:bCs/>
                <w:sz w:val="24"/>
                <w:szCs w:val="24"/>
                <w:lang w:val="en-US" w:eastAsia="zh-CN"/>
              </w:rPr>
              <w:t>2000</w:t>
            </w:r>
            <w:r>
              <w:rPr>
                <w:rFonts w:hint="default" w:ascii="Times New Roman" w:hAnsi="Times New Roman" w:eastAsia="宋体" w:cs="Times New Roman"/>
                <w:bCs/>
                <w:sz w:val="24"/>
                <w:szCs w:val="24"/>
              </w:rPr>
              <w:t>万元</w:t>
            </w:r>
          </w:p>
        </w:tc>
        <w:tc>
          <w:tcPr>
            <w:tcW w:w="1166" w:type="pct"/>
            <w:gridSpan w:val="2"/>
            <w:vAlign w:val="center"/>
          </w:tcPr>
          <w:p w14:paraId="55DA3C6E">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环保投资</w:t>
            </w:r>
          </w:p>
        </w:tc>
        <w:tc>
          <w:tcPr>
            <w:tcW w:w="795" w:type="pct"/>
            <w:gridSpan w:val="2"/>
            <w:vAlign w:val="center"/>
          </w:tcPr>
          <w:p w14:paraId="6D6B915E">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Cs/>
                <w:sz w:val="24"/>
                <w:szCs w:val="24"/>
                <w:lang w:val="en-US" w:eastAsia="zh-CN"/>
              </w:rPr>
              <w:t>10</w:t>
            </w:r>
            <w:r>
              <w:rPr>
                <w:rFonts w:hint="default" w:ascii="Times New Roman" w:hAnsi="Times New Roman" w:eastAsia="宋体" w:cs="Times New Roman"/>
                <w:bCs/>
                <w:sz w:val="24"/>
                <w:szCs w:val="24"/>
              </w:rPr>
              <w:t>万元</w:t>
            </w:r>
          </w:p>
        </w:tc>
        <w:tc>
          <w:tcPr>
            <w:tcW w:w="765" w:type="pct"/>
            <w:vAlign w:val="center"/>
          </w:tcPr>
          <w:p w14:paraId="1FD35EE2">
            <w:pPr>
              <w:spacing w:before="80" w:after="80"/>
              <w:jc w:val="center"/>
              <w:rPr>
                <w:rFonts w:hint="default" w:ascii="Times New Roman" w:hAnsi="Times New Roman" w:eastAsia="宋体" w:cs="Times New Roman"/>
                <w:bCs/>
                <w:sz w:val="24"/>
                <w:szCs w:val="24"/>
              </w:rPr>
            </w:pPr>
            <w:r>
              <w:rPr>
                <w:rFonts w:hint="default" w:ascii="Times New Roman" w:hAnsi="Times New Roman" w:eastAsia="宋体" w:cs="Times New Roman"/>
                <w:b/>
                <w:sz w:val="24"/>
                <w:szCs w:val="24"/>
              </w:rPr>
              <w:t>占比</w:t>
            </w:r>
          </w:p>
        </w:tc>
        <w:tc>
          <w:tcPr>
            <w:tcW w:w="803" w:type="pct"/>
            <w:vAlign w:val="center"/>
          </w:tcPr>
          <w:p w14:paraId="0FDE321C">
            <w:pPr>
              <w:spacing w:before="80" w:after="80"/>
              <w:jc w:val="center"/>
              <w:rPr>
                <w:rFonts w:hint="default" w:ascii="Times New Roman" w:hAnsi="Times New Roman" w:eastAsia="宋体" w:cs="Times New Roman"/>
                <w:bCs/>
                <w:sz w:val="24"/>
                <w:szCs w:val="24"/>
              </w:rPr>
            </w:pPr>
            <w:r>
              <w:rPr>
                <w:rFonts w:hint="default" w:ascii="Times New Roman" w:hAnsi="Times New Roman" w:eastAsia="宋体" w:cs="Times New Roman"/>
                <w:bCs/>
                <w:sz w:val="24"/>
                <w:szCs w:val="24"/>
                <w:lang w:val="en-US" w:eastAsia="zh-CN"/>
              </w:rPr>
              <w:t>0.5%</w:t>
            </w:r>
          </w:p>
        </w:tc>
      </w:tr>
      <w:tr w14:paraId="4699339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03" w:type="pct"/>
            <w:vAlign w:val="center"/>
          </w:tcPr>
          <w:p w14:paraId="401C4CB0">
            <w:pPr>
              <w:spacing w:before="80" w:after="8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验收监测依据</w:t>
            </w:r>
          </w:p>
          <w:p w14:paraId="063CC92C">
            <w:pPr>
              <w:spacing w:before="80" w:after="80"/>
              <w:jc w:val="center"/>
              <w:rPr>
                <w:rFonts w:hint="default" w:ascii="Times New Roman" w:hAnsi="Times New Roman" w:eastAsia="宋体" w:cs="Times New Roman"/>
                <w:b/>
                <w:sz w:val="24"/>
                <w:szCs w:val="24"/>
              </w:rPr>
            </w:pPr>
          </w:p>
        </w:tc>
        <w:tc>
          <w:tcPr>
            <w:tcW w:w="4296" w:type="pct"/>
            <w:gridSpan w:val="7"/>
            <w:vAlign w:val="center"/>
          </w:tcPr>
          <w:p w14:paraId="4214D0BB">
            <w:pPr>
              <w:spacing w:line="360" w:lineRule="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（1）《中华人民共和国环境保护法》（2015年1月1日实施）；</w:t>
            </w:r>
          </w:p>
          <w:p w14:paraId="7D8AB7EA">
            <w:pPr>
              <w:spacing w:line="360" w:lineRule="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（2）《中华人民共和国水污染防治法》（2018年1月1日实施）；</w:t>
            </w:r>
          </w:p>
          <w:p w14:paraId="6E7BE295">
            <w:pPr>
              <w:spacing w:line="360" w:lineRule="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（3）《中华人民共和国环境噪声污染防治法》（2022年6月5日实施）；</w:t>
            </w:r>
          </w:p>
          <w:p w14:paraId="18E698B7">
            <w:pPr>
              <w:spacing w:line="360" w:lineRule="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（4）《中华人民共和国固体废物污染环境防治法》（2020年9月1日实施）；</w:t>
            </w:r>
          </w:p>
          <w:p w14:paraId="18B97AEA">
            <w:pPr>
              <w:spacing w:line="360" w:lineRule="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（5）关于发布《建设项目竣工环境保护验收技术指南污染影响类》的公告（公告2018年第9号）；</w:t>
            </w:r>
          </w:p>
          <w:p w14:paraId="349E4ABF">
            <w:pPr>
              <w:spacing w:line="360" w:lineRule="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（6）《一般工业固体废物贮存和填埋污染控制标准》（GB18599-2020）；</w:t>
            </w:r>
          </w:p>
          <w:p w14:paraId="68805A5F">
            <w:pPr>
              <w:spacing w:line="360" w:lineRule="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7</w:t>
            </w:r>
            <w:r>
              <w:rPr>
                <w:rFonts w:hint="default" w:ascii="Times New Roman" w:hAnsi="Times New Roman" w:eastAsia="宋体" w:cs="Times New Roman"/>
                <w:sz w:val="24"/>
                <w:szCs w:val="24"/>
              </w:rPr>
              <w:t>）关于发布《建设项目竣工环境保护验收暂行办法》的公告（国环规环评〔2017〕4号）；</w:t>
            </w:r>
          </w:p>
          <w:p w14:paraId="0EEAD5C6">
            <w:pPr>
              <w:spacing w:line="360" w:lineRule="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8</w:t>
            </w:r>
            <w:r>
              <w:rPr>
                <w:rFonts w:hint="default" w:ascii="Times New Roman" w:hAnsi="Times New Roman" w:eastAsia="宋体" w:cs="Times New Roman"/>
                <w:sz w:val="24"/>
                <w:szCs w:val="24"/>
              </w:rPr>
              <w:t>）《建设项目环境保护管理条例》（国务院令第682号，2017年07月16日）；</w:t>
            </w:r>
          </w:p>
          <w:p w14:paraId="3131F8B0">
            <w:pPr>
              <w:spacing w:line="360" w:lineRule="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9</w:t>
            </w:r>
            <w:r>
              <w:rPr>
                <w:rFonts w:hint="default" w:ascii="Times New Roman" w:hAnsi="Times New Roman" w:eastAsia="宋体" w:cs="Times New Roman"/>
                <w:sz w:val="24"/>
                <w:szCs w:val="24"/>
              </w:rPr>
              <w:t>）《国家危险废物名录（202</w:t>
            </w:r>
            <w:r>
              <w:rPr>
                <w:rFonts w:hint="default" w:ascii="Times New Roman" w:hAnsi="Times New Roman" w:eastAsia="宋体" w:cs="Times New Roman"/>
                <w:sz w:val="24"/>
                <w:szCs w:val="24"/>
                <w:lang w:val="en-US" w:eastAsia="zh-CN"/>
              </w:rPr>
              <w:t>5</w:t>
            </w:r>
            <w:r>
              <w:rPr>
                <w:rFonts w:hint="default" w:ascii="Times New Roman" w:hAnsi="Times New Roman" w:eastAsia="宋体" w:cs="Times New Roman"/>
                <w:sz w:val="24"/>
                <w:szCs w:val="24"/>
              </w:rPr>
              <w:t>年版）》（202</w:t>
            </w:r>
            <w:r>
              <w:rPr>
                <w:rFonts w:hint="default" w:ascii="Times New Roman" w:hAnsi="Times New Roman" w:eastAsia="宋体" w:cs="Times New Roman"/>
                <w:sz w:val="24"/>
                <w:szCs w:val="24"/>
                <w:lang w:val="en-US" w:eastAsia="zh-CN"/>
              </w:rPr>
              <w:t>5</w:t>
            </w:r>
            <w:r>
              <w:rPr>
                <w:rFonts w:hint="default" w:ascii="Times New Roman" w:hAnsi="Times New Roman" w:eastAsia="宋体" w:cs="Times New Roman"/>
                <w:sz w:val="24"/>
                <w:szCs w:val="24"/>
              </w:rPr>
              <w:t>年1月1日实施）</w:t>
            </w:r>
          </w:p>
          <w:p w14:paraId="017DB31A">
            <w:pPr>
              <w:spacing w:line="360" w:lineRule="auto"/>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10</w:t>
            </w:r>
            <w:r>
              <w:rPr>
                <w:rFonts w:hint="default" w:ascii="Times New Roman" w:hAnsi="Times New Roman" w:eastAsia="宋体" w:cs="Times New Roman"/>
                <w:sz w:val="24"/>
                <w:szCs w:val="24"/>
              </w:rPr>
              <w:t>）《危险废物贮存污染控制标准》（GB18597-20</w:t>
            </w:r>
            <w:r>
              <w:rPr>
                <w:rFonts w:hint="default" w:ascii="Times New Roman" w:hAnsi="Times New Roman" w:eastAsia="宋体" w:cs="Times New Roman"/>
                <w:sz w:val="24"/>
                <w:szCs w:val="24"/>
                <w:lang w:val="en-US" w:eastAsia="zh-CN"/>
              </w:rPr>
              <w:t>23</w:t>
            </w:r>
            <w:r>
              <w:rPr>
                <w:rFonts w:hint="default" w:ascii="Times New Roman" w:hAnsi="Times New Roman" w:eastAsia="宋体" w:cs="Times New Roman"/>
                <w:sz w:val="24"/>
                <w:szCs w:val="24"/>
              </w:rPr>
              <w:t>）202</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年</w:t>
            </w:r>
            <w:r>
              <w:rPr>
                <w:rFonts w:hint="default" w:ascii="Times New Roman" w:hAnsi="Times New Roman" w:eastAsia="宋体" w:cs="Times New Roman"/>
                <w:sz w:val="24"/>
                <w:szCs w:val="24"/>
                <w:lang w:val="en-US" w:eastAsia="zh-CN"/>
              </w:rPr>
              <w:t>7</w:t>
            </w:r>
            <w:r>
              <w:rPr>
                <w:rFonts w:hint="default" w:ascii="Times New Roman" w:hAnsi="Times New Roman" w:eastAsia="宋体" w:cs="Times New Roman"/>
                <w:sz w:val="24"/>
                <w:szCs w:val="24"/>
              </w:rPr>
              <w:t>月1日实施</w:t>
            </w:r>
            <w:r>
              <w:rPr>
                <w:rFonts w:hint="default" w:ascii="Times New Roman" w:hAnsi="Times New Roman" w:eastAsia="宋体" w:cs="Times New Roman"/>
                <w:sz w:val="24"/>
                <w:szCs w:val="24"/>
                <w:lang w:eastAsia="zh-CN"/>
              </w:rPr>
              <w:t>；</w:t>
            </w:r>
          </w:p>
          <w:p w14:paraId="14B47E1D">
            <w:pPr>
              <w:pStyle w:val="28"/>
              <w:ind w:firstLine="0" w:firstLineChars="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default" w:ascii="Times New Roman" w:hAnsi="Times New Roman" w:eastAsia="宋体" w:cs="Times New Roman"/>
                <w:sz w:val="24"/>
                <w:szCs w:val="24"/>
                <w:lang w:val="en-US" w:eastAsia="zh-CN"/>
              </w:rPr>
              <w:t>1</w:t>
            </w:r>
            <w:r>
              <w:rPr>
                <w:rFonts w:hint="default" w:ascii="Times New Roman" w:hAnsi="Times New Roman" w:eastAsia="宋体" w:cs="Times New Roman"/>
                <w:sz w:val="24"/>
                <w:szCs w:val="24"/>
              </w:rPr>
              <w:t>）《危险废物收集、贮存、运输技术规范》（HJ2025-2012）；</w:t>
            </w:r>
          </w:p>
          <w:p w14:paraId="6193BBB6">
            <w:pPr>
              <w:spacing w:line="360" w:lineRule="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）《北京市危险废物污染环境防治条例》（2020年9月1日实施）；</w:t>
            </w:r>
          </w:p>
          <w:p w14:paraId="4547A48E">
            <w:pPr>
              <w:pStyle w:val="28"/>
              <w:ind w:firstLine="0" w:firstLineChars="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）《北京市生活垃圾管理条例》（2020年5月1日施行）</w:t>
            </w:r>
          </w:p>
          <w:p w14:paraId="57F530D7">
            <w:pPr>
              <w:spacing w:line="360" w:lineRule="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14</w:t>
            </w:r>
            <w:r>
              <w:rPr>
                <w:rFonts w:hint="default" w:ascii="Times New Roman" w:hAnsi="Times New Roman" w:eastAsia="宋体" w:cs="Times New Roman"/>
                <w:sz w:val="24"/>
                <w:szCs w:val="24"/>
              </w:rPr>
              <w:t>）《建设单位开展自主环境保护验收指南》（北京市生态环境局监察总队，</w:t>
            </w:r>
            <w:r>
              <w:rPr>
                <w:rFonts w:hint="default" w:ascii="Times New Roman" w:hAnsi="Times New Roman" w:eastAsia="宋体" w:cs="Times New Roman"/>
                <w:sz w:val="24"/>
                <w:szCs w:val="24"/>
                <w:lang w:val="en-US" w:eastAsia="zh-CN"/>
              </w:rPr>
              <w:t>2022</w:t>
            </w:r>
            <w:r>
              <w:rPr>
                <w:rFonts w:hint="default" w:ascii="Times New Roman" w:hAnsi="Times New Roman" w:eastAsia="宋体" w:cs="Times New Roman"/>
                <w:sz w:val="24"/>
                <w:szCs w:val="24"/>
              </w:rPr>
              <w:t>年</w:t>
            </w:r>
            <w:r>
              <w:rPr>
                <w:rFonts w:hint="default" w:ascii="Times New Roman" w:hAnsi="Times New Roman" w:eastAsia="宋体" w:cs="Times New Roman"/>
                <w:sz w:val="24"/>
                <w:szCs w:val="24"/>
                <w:lang w:val="en-US" w:eastAsia="zh-CN"/>
              </w:rPr>
              <w:t>8</w:t>
            </w:r>
            <w:r>
              <w:rPr>
                <w:rFonts w:hint="default" w:ascii="Times New Roman" w:hAnsi="Times New Roman" w:eastAsia="宋体" w:cs="Times New Roman"/>
                <w:sz w:val="24"/>
                <w:szCs w:val="24"/>
              </w:rPr>
              <w:t>月</w:t>
            </w:r>
            <w:r>
              <w:rPr>
                <w:rFonts w:hint="default" w:ascii="Times New Roman" w:hAnsi="Times New Roman" w:eastAsia="宋体" w:cs="Times New Roman"/>
                <w:sz w:val="24"/>
                <w:szCs w:val="24"/>
                <w:lang w:val="en-US" w:eastAsia="zh-CN"/>
              </w:rPr>
              <w:t>22</w:t>
            </w:r>
            <w:r>
              <w:rPr>
                <w:rFonts w:hint="default" w:ascii="Times New Roman" w:hAnsi="Times New Roman" w:eastAsia="宋体" w:cs="Times New Roman"/>
                <w:sz w:val="24"/>
                <w:szCs w:val="24"/>
              </w:rPr>
              <w:t>日）；</w:t>
            </w:r>
          </w:p>
          <w:p w14:paraId="189DF0B6">
            <w:pPr>
              <w:spacing w:line="360" w:lineRule="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default" w:ascii="Times New Roman" w:hAnsi="Times New Roman" w:eastAsia="宋体" w:cs="Times New Roman"/>
                <w:sz w:val="24"/>
                <w:szCs w:val="24"/>
                <w:lang w:val="en-US" w:eastAsia="zh-CN"/>
              </w:rPr>
              <w:t>5</w:t>
            </w:r>
            <w:r>
              <w:rPr>
                <w:rFonts w:hint="default" w:ascii="Times New Roman" w:hAnsi="Times New Roman" w:eastAsia="宋体" w:cs="Times New Roman"/>
                <w:sz w:val="24"/>
                <w:szCs w:val="24"/>
              </w:rPr>
              <w:t>）根据《关于印发环评管理中部分行业建设项目重大变动清单的通知》（环办[2015]52号、2015年6月4日实施）；</w:t>
            </w:r>
          </w:p>
          <w:p w14:paraId="76FB0068">
            <w:pPr>
              <w:spacing w:line="360" w:lineRule="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default" w:ascii="Times New Roman" w:hAnsi="Times New Roman" w:eastAsia="宋体" w:cs="Times New Roman"/>
                <w:sz w:val="24"/>
                <w:szCs w:val="24"/>
                <w:lang w:val="en-US" w:eastAsia="zh-CN"/>
              </w:rPr>
              <w:t>6</w:t>
            </w:r>
            <w:r>
              <w:rPr>
                <w:rFonts w:hint="default" w:ascii="Times New Roman" w:hAnsi="Times New Roman" w:eastAsia="宋体" w:cs="Times New Roman"/>
                <w:sz w:val="24"/>
                <w:szCs w:val="24"/>
              </w:rPr>
              <w:t>）关于印发《污染影响类建设项目重大变动清单（试行）》的通知（环办环评函[2020]688号，2020年12月13日实施）；</w:t>
            </w:r>
          </w:p>
          <w:p w14:paraId="356E9C24">
            <w:pPr>
              <w:spacing w:line="360" w:lineRule="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17</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eastAsia="zh-CN"/>
              </w:rPr>
              <w:t>北京永泰生物制品有限公司免疫细胞制剂质检实验室项目</w:t>
            </w:r>
            <w:r>
              <w:rPr>
                <w:rFonts w:hint="default" w:ascii="Times New Roman" w:hAnsi="Times New Roman" w:eastAsia="宋体" w:cs="Times New Roman"/>
                <w:sz w:val="24"/>
                <w:szCs w:val="24"/>
              </w:rPr>
              <w:t>环境影响报告表》</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20</w:t>
            </w:r>
            <w:r>
              <w:rPr>
                <w:rFonts w:hint="default" w:ascii="Times New Roman" w:hAnsi="Times New Roman" w:eastAsia="宋体" w:cs="Times New Roman"/>
                <w:sz w:val="24"/>
                <w:szCs w:val="24"/>
                <w:lang w:val="en-US" w:eastAsia="zh-CN"/>
              </w:rPr>
              <w:t>20</w:t>
            </w:r>
            <w:r>
              <w:rPr>
                <w:rFonts w:hint="default" w:ascii="Times New Roman" w:hAnsi="Times New Roman" w:eastAsia="宋体" w:cs="Times New Roman"/>
                <w:sz w:val="24"/>
                <w:szCs w:val="24"/>
              </w:rPr>
              <w:t>年</w:t>
            </w:r>
            <w:r>
              <w:rPr>
                <w:rFonts w:hint="default" w:ascii="Times New Roman" w:hAnsi="Times New Roman" w:eastAsia="宋体" w:cs="Times New Roman"/>
                <w:sz w:val="24"/>
                <w:szCs w:val="24"/>
                <w:lang w:val="en-US" w:eastAsia="zh-CN"/>
              </w:rPr>
              <w:t>12</w:t>
            </w:r>
            <w:r>
              <w:rPr>
                <w:rFonts w:hint="default" w:ascii="Times New Roman" w:hAnsi="Times New Roman" w:eastAsia="宋体" w:cs="Times New Roman"/>
                <w:sz w:val="24"/>
                <w:szCs w:val="24"/>
              </w:rPr>
              <w:t>月</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w:t>
            </w:r>
          </w:p>
          <w:p w14:paraId="205027BE">
            <w:pPr>
              <w:spacing w:line="360" w:lineRule="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18</w:t>
            </w:r>
            <w:r>
              <w:rPr>
                <w:rFonts w:hint="default" w:ascii="Times New Roman" w:hAnsi="Times New Roman" w:eastAsia="宋体" w:cs="Times New Roman"/>
                <w:sz w:val="24"/>
                <w:szCs w:val="24"/>
              </w:rPr>
              <w:t>）关于《</w:t>
            </w:r>
            <w:r>
              <w:rPr>
                <w:rFonts w:hint="default" w:ascii="Times New Roman" w:hAnsi="Times New Roman" w:eastAsia="宋体" w:cs="Times New Roman"/>
                <w:sz w:val="24"/>
                <w:szCs w:val="24"/>
                <w:lang w:eastAsia="zh-CN"/>
              </w:rPr>
              <w:t>北京永泰生物制品有限公司</w:t>
            </w:r>
            <w:r>
              <w:rPr>
                <w:rFonts w:hint="default" w:ascii="Times New Roman" w:hAnsi="Times New Roman" w:eastAsia="宋体" w:cs="Times New Roman"/>
                <w:sz w:val="24"/>
                <w:szCs w:val="24"/>
                <w:lang w:val="en-US" w:eastAsia="zh-CN"/>
              </w:rPr>
              <w:t>免疫细胞制剂质检实验室项目</w:t>
            </w:r>
            <w:r>
              <w:rPr>
                <w:rFonts w:hint="default" w:ascii="Times New Roman" w:hAnsi="Times New Roman" w:eastAsia="宋体" w:cs="Times New Roman"/>
                <w:sz w:val="24"/>
                <w:szCs w:val="24"/>
              </w:rPr>
              <w:t>环境影响报告表》的批复，北京经济技术</w:t>
            </w:r>
            <w:r>
              <w:rPr>
                <w:rFonts w:hint="default" w:ascii="Times New Roman" w:hAnsi="Times New Roman" w:eastAsia="宋体" w:cs="Times New Roman"/>
                <w:sz w:val="24"/>
                <w:szCs w:val="24"/>
                <w:highlight w:val="none"/>
              </w:rPr>
              <w:t>开发区</w:t>
            </w:r>
            <w:r>
              <w:rPr>
                <w:rFonts w:hint="default" w:ascii="Times New Roman" w:hAnsi="Times New Roman" w:eastAsia="宋体" w:cs="Times New Roman"/>
                <w:sz w:val="24"/>
                <w:szCs w:val="24"/>
                <w:highlight w:val="none"/>
                <w:lang w:val="en-US" w:eastAsia="zh-CN"/>
              </w:rPr>
              <w:t>行政审批局</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京环保</w:t>
            </w:r>
            <w:r>
              <w:rPr>
                <w:rFonts w:hint="default" w:ascii="Times New Roman" w:hAnsi="Times New Roman" w:eastAsia="宋体" w:cs="Times New Roman"/>
                <w:sz w:val="24"/>
                <w:szCs w:val="24"/>
                <w:highlight w:val="none"/>
              </w:rPr>
              <w:t>审字[20</w:t>
            </w:r>
            <w:r>
              <w:rPr>
                <w:rFonts w:hint="default" w:ascii="Times New Roman" w:hAnsi="Times New Roman" w:eastAsia="宋体" w:cs="Times New Roman"/>
                <w:sz w:val="24"/>
                <w:szCs w:val="24"/>
                <w:highlight w:val="none"/>
                <w:lang w:val="en-US" w:eastAsia="zh-CN"/>
              </w:rPr>
              <w:t>21</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0020</w:t>
            </w:r>
            <w:r>
              <w:rPr>
                <w:rFonts w:hint="default" w:ascii="Times New Roman" w:hAnsi="Times New Roman" w:eastAsia="宋体" w:cs="Times New Roman"/>
                <w:sz w:val="24"/>
                <w:szCs w:val="24"/>
                <w:highlight w:val="none"/>
              </w:rPr>
              <w:t>号，</w:t>
            </w:r>
            <w:r>
              <w:rPr>
                <w:rFonts w:hint="default" w:ascii="Times New Roman" w:hAnsi="Times New Roman" w:eastAsia="宋体" w:cs="Times New Roman"/>
                <w:sz w:val="24"/>
                <w:szCs w:val="24"/>
                <w:highlight w:val="none"/>
                <w:lang w:val="en-US" w:eastAsia="zh-CN"/>
              </w:rPr>
              <w:t>2021</w:t>
            </w:r>
            <w:r>
              <w:rPr>
                <w:rFonts w:hint="default" w:ascii="Times New Roman" w:hAnsi="Times New Roman" w:eastAsia="宋体" w:cs="Times New Roman"/>
                <w:sz w:val="24"/>
                <w:szCs w:val="24"/>
                <w:highlight w:val="none"/>
              </w:rPr>
              <w:t>年</w:t>
            </w:r>
            <w:r>
              <w:rPr>
                <w:rFonts w:hint="default" w:ascii="Times New Roman" w:hAnsi="Times New Roman" w:eastAsia="宋体" w:cs="Times New Roman"/>
                <w:sz w:val="24"/>
                <w:szCs w:val="24"/>
                <w:highlight w:val="none"/>
                <w:lang w:val="en-US" w:eastAsia="zh-CN"/>
              </w:rPr>
              <w:t>2</w:t>
            </w:r>
            <w:r>
              <w:rPr>
                <w:rFonts w:hint="default" w:ascii="Times New Roman" w:hAnsi="Times New Roman" w:eastAsia="宋体" w:cs="Times New Roman"/>
                <w:sz w:val="24"/>
                <w:szCs w:val="24"/>
                <w:highlight w:val="none"/>
              </w:rPr>
              <w:t>月</w:t>
            </w:r>
            <w:r>
              <w:rPr>
                <w:rFonts w:hint="default" w:ascii="Times New Roman" w:hAnsi="Times New Roman" w:eastAsia="宋体" w:cs="Times New Roman"/>
                <w:sz w:val="24"/>
                <w:szCs w:val="24"/>
                <w:highlight w:val="none"/>
                <w:lang w:val="en-US" w:eastAsia="zh-CN"/>
              </w:rPr>
              <w:t>4</w:t>
            </w:r>
            <w:r>
              <w:rPr>
                <w:rFonts w:hint="default" w:ascii="Times New Roman" w:hAnsi="Times New Roman" w:eastAsia="宋体" w:cs="Times New Roman"/>
                <w:sz w:val="24"/>
                <w:szCs w:val="24"/>
                <w:highlight w:val="none"/>
              </w:rPr>
              <w:t>日；</w:t>
            </w:r>
          </w:p>
          <w:p w14:paraId="5FFD6C11">
            <w:pPr>
              <w:spacing w:line="360" w:lineRule="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19</w:t>
            </w:r>
            <w:r>
              <w:rPr>
                <w:rFonts w:hint="default" w:ascii="Times New Roman" w:hAnsi="Times New Roman" w:eastAsia="宋体" w:cs="Times New Roman"/>
                <w:sz w:val="24"/>
                <w:szCs w:val="24"/>
              </w:rPr>
              <w:t>）中谱</w:t>
            </w:r>
            <w:r>
              <w:rPr>
                <w:rFonts w:hint="default" w:ascii="Times New Roman" w:hAnsi="Times New Roman" w:eastAsia="宋体" w:cs="Times New Roman"/>
                <w:sz w:val="24"/>
                <w:szCs w:val="24"/>
                <w:lang w:val="en-US" w:eastAsia="zh-CN"/>
              </w:rPr>
              <w:t>（北京）测试科技有限公司检测报告、壹检(北京)生物科技有限公司。</w:t>
            </w:r>
          </w:p>
          <w:p w14:paraId="2FA966B7">
            <w:pPr>
              <w:spacing w:line="360" w:lineRule="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w:t>
            </w:r>
            <w:r>
              <w:rPr>
                <w:rFonts w:hint="default" w:ascii="Times New Roman" w:hAnsi="Times New Roman" w:eastAsia="宋体" w:cs="Times New Roman"/>
                <w:sz w:val="24"/>
                <w:szCs w:val="24"/>
                <w:lang w:val="en-US" w:eastAsia="zh-CN"/>
              </w:rPr>
              <w:t>0</w:t>
            </w:r>
            <w:r>
              <w:rPr>
                <w:rFonts w:hint="default" w:ascii="Times New Roman" w:hAnsi="Times New Roman" w:eastAsia="宋体" w:cs="Times New Roman"/>
                <w:sz w:val="24"/>
                <w:szCs w:val="24"/>
              </w:rPr>
              <w:t>）与本项目相关的基础资料。</w:t>
            </w:r>
          </w:p>
        </w:tc>
      </w:tr>
      <w:tr w14:paraId="610880D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047" w:hRule="atLeast"/>
          <w:jc w:val="center"/>
        </w:trPr>
        <w:tc>
          <w:tcPr>
            <w:tcW w:w="703" w:type="pct"/>
            <w:vAlign w:val="center"/>
          </w:tcPr>
          <w:p w14:paraId="21365A5A">
            <w:pPr>
              <w:spacing w:before="80" w:after="80"/>
              <w:jc w:val="both"/>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验收监测评价标准、标号、级别、限值</w:t>
            </w:r>
          </w:p>
        </w:tc>
        <w:tc>
          <w:tcPr>
            <w:tcW w:w="4296" w:type="pct"/>
            <w:gridSpan w:val="7"/>
            <w:vAlign w:val="center"/>
          </w:tcPr>
          <w:p w14:paraId="0A724FA7">
            <w:pPr>
              <w:pStyle w:val="3"/>
              <w:ind w:firstLine="482" w:firstLineChars="200"/>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一、废</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气</w:t>
            </w:r>
            <w:r>
              <w:rPr>
                <w:rFonts w:hint="default" w:ascii="Times New Roman" w:hAnsi="Times New Roman" w:eastAsia="宋体" w:cs="Times New Roman"/>
                <w:color w:val="000000" w:themeColor="text1"/>
                <w:sz w:val="24"/>
                <w:szCs w:val="24"/>
                <w14:textFill>
                  <w14:solidFill>
                    <w14:schemeClr w14:val="tx1"/>
                  </w14:solidFill>
                </w14:textFill>
              </w:rPr>
              <w:t>排放标准</w:t>
            </w:r>
          </w:p>
          <w:p w14:paraId="0419ADEE">
            <w:pPr>
              <w:pStyle w:val="3"/>
              <w:ind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4"/>
                <w:szCs w:val="24"/>
                <w14:textFill>
                  <w14:solidFill>
                    <w14:schemeClr w14:val="tx1"/>
                  </w14:solidFill>
                </w14:textFill>
              </w:rPr>
              <w:t>根据环评</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及</w:t>
            </w:r>
            <w:r>
              <w:rPr>
                <w:rFonts w:hint="default" w:ascii="Times New Roman" w:hAnsi="Times New Roman" w:eastAsia="宋体" w:cs="Times New Roman"/>
                <w:b w:val="0"/>
                <w:bCs w:val="0"/>
                <w:color w:val="000000" w:themeColor="text1"/>
                <w:sz w:val="24"/>
                <w:szCs w:val="24"/>
                <w14:textFill>
                  <w14:solidFill>
                    <w14:schemeClr w14:val="tx1"/>
                  </w14:solidFill>
                </w14:textFill>
              </w:rPr>
              <w:t>批复，</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本项目</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无燃煤、燃油、燃气设施，不设食堂，本项目废气主要为实验检测过程挥发的有机废气和无机废气，可经过集气罩收集，通过活性炭净化处理后由15m高排气筒排出室外。</w:t>
            </w:r>
          </w:p>
          <w:p w14:paraId="05FEA370">
            <w:pPr>
              <w:spacing w:line="360" w:lineRule="auto"/>
              <w:ind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本项目排气筒高度为 15m，未高出周边 200m 半径范围内的建筑5m 以上，按北京市《大气污染物综合排放标准》（DB11/501-2017）表3有关污染物排放速率限值的50%执行。本项目污染物排放标准具体限值如下表所示。</w:t>
            </w:r>
          </w:p>
          <w:p w14:paraId="02DF0B58">
            <w:pPr>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pacing w:val="-1"/>
                <w:sz w:val="24"/>
                <w:szCs w:val="24"/>
              </w:rPr>
              <w:t>表</w:t>
            </w:r>
            <w:r>
              <w:rPr>
                <w:rFonts w:hint="default" w:ascii="Times New Roman" w:hAnsi="Times New Roman" w:eastAsia="宋体" w:cs="Times New Roman"/>
                <w:b/>
                <w:bCs/>
                <w:spacing w:val="-1"/>
                <w:sz w:val="24"/>
                <w:szCs w:val="24"/>
                <w:lang w:val="en-US" w:eastAsia="zh-CN"/>
              </w:rPr>
              <w:t>1-1 本项目大气污染物</w:t>
            </w:r>
            <w:r>
              <w:rPr>
                <w:rFonts w:hint="default" w:ascii="Times New Roman" w:hAnsi="Times New Roman" w:eastAsia="宋体" w:cs="Times New Roman"/>
                <w:b/>
                <w:bCs/>
                <w:spacing w:val="-1"/>
                <w:sz w:val="24"/>
                <w:szCs w:val="24"/>
              </w:rPr>
              <w:t>排放</w:t>
            </w:r>
            <w:r>
              <w:rPr>
                <w:rFonts w:hint="default" w:ascii="Times New Roman" w:hAnsi="Times New Roman" w:eastAsia="宋体" w:cs="Times New Roman"/>
                <w:b/>
                <w:bCs/>
                <w:spacing w:val="-1"/>
                <w:sz w:val="24"/>
                <w:szCs w:val="24"/>
                <w:lang w:val="en-US" w:eastAsia="zh-CN"/>
              </w:rPr>
              <w:t>标准</w:t>
            </w:r>
          </w:p>
          <w:tbl>
            <w:tblPr>
              <w:tblStyle w:val="29"/>
              <w:tblpPr w:leftFromText="180" w:rightFromText="180" w:vertAnchor="text" w:horzAnchor="page" w:tblpX="-52" w:tblpY="292"/>
              <w:tblOverlap w:val="never"/>
              <w:tblW w:w="7957"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72"/>
              <w:gridCol w:w="1550"/>
              <w:gridCol w:w="1097"/>
              <w:gridCol w:w="2469"/>
              <w:gridCol w:w="2469"/>
            </w:tblGrid>
            <w:tr w14:paraId="744526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6" w:hRule="atLeast"/>
              </w:trPr>
              <w:tc>
                <w:tcPr>
                  <w:tcW w:w="372" w:type="dxa"/>
                  <w:vMerge w:val="restart"/>
                  <w:vAlign w:val="center"/>
                </w:tcPr>
                <w:p w14:paraId="0DCE3CC7">
                  <w:pPr>
                    <w:pStyle w:val="109"/>
                    <w:rPr>
                      <w:rFonts w:hint="default" w:ascii="Times New Roman" w:hAnsi="Times New Roman" w:eastAsia="宋体" w:cs="Times New Roman"/>
                      <w:b/>
                      <w:bCs/>
                      <w:sz w:val="24"/>
                      <w:szCs w:val="24"/>
                    </w:rPr>
                  </w:pPr>
                </w:p>
                <w:p w14:paraId="76A2CDD4">
                  <w:pPr>
                    <w:pStyle w:val="109"/>
                    <w:rPr>
                      <w:rFonts w:hint="default" w:ascii="Times New Roman" w:hAnsi="Times New Roman" w:eastAsia="宋体" w:cs="Times New Roman"/>
                      <w:b/>
                      <w:bCs/>
                      <w:sz w:val="24"/>
                      <w:szCs w:val="24"/>
                    </w:rPr>
                  </w:pPr>
                </w:p>
                <w:p w14:paraId="11B50DD3">
                  <w:pPr>
                    <w:pStyle w:val="109"/>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序号</w:t>
                  </w:r>
                </w:p>
              </w:tc>
              <w:tc>
                <w:tcPr>
                  <w:tcW w:w="1550" w:type="dxa"/>
                  <w:vMerge w:val="restart"/>
                  <w:vAlign w:val="center"/>
                </w:tcPr>
                <w:p w14:paraId="6596CFE5">
                  <w:pPr>
                    <w:pStyle w:val="109"/>
                    <w:rPr>
                      <w:rFonts w:hint="default" w:ascii="Times New Roman" w:hAnsi="Times New Roman" w:eastAsia="宋体" w:cs="Times New Roman"/>
                      <w:b/>
                      <w:bCs/>
                      <w:sz w:val="24"/>
                      <w:szCs w:val="24"/>
                    </w:rPr>
                  </w:pPr>
                </w:p>
                <w:p w14:paraId="7771AD72">
                  <w:pPr>
                    <w:pStyle w:val="109"/>
                    <w:rPr>
                      <w:rFonts w:hint="default" w:ascii="Times New Roman" w:hAnsi="Times New Roman" w:eastAsia="宋体" w:cs="Times New Roman"/>
                      <w:b/>
                      <w:bCs/>
                      <w:sz w:val="24"/>
                      <w:szCs w:val="24"/>
                    </w:rPr>
                  </w:pPr>
                </w:p>
                <w:p w14:paraId="1D700DD3">
                  <w:pPr>
                    <w:pStyle w:val="109"/>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污染物项目</w:t>
                  </w:r>
                </w:p>
              </w:tc>
              <w:tc>
                <w:tcPr>
                  <w:tcW w:w="1097" w:type="dxa"/>
                  <w:vMerge w:val="restart"/>
                  <w:vAlign w:val="center"/>
                </w:tcPr>
                <w:p w14:paraId="0B90B8E1">
                  <w:pPr>
                    <w:pStyle w:val="109"/>
                    <w:rPr>
                      <w:rFonts w:hint="default" w:ascii="Times New Roman" w:hAnsi="Times New Roman" w:eastAsia="宋体" w:cs="Times New Roman"/>
                      <w:b/>
                      <w:bCs/>
                      <w:sz w:val="24"/>
                      <w:szCs w:val="24"/>
                    </w:rPr>
                  </w:pPr>
                </w:p>
                <w:p w14:paraId="71D1F22A">
                  <w:pPr>
                    <w:pStyle w:val="109"/>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最高允许排放浓度(mg/m3)</w:t>
                  </w:r>
                </w:p>
              </w:tc>
              <w:tc>
                <w:tcPr>
                  <w:tcW w:w="2469" w:type="dxa"/>
                  <w:vAlign w:val="center"/>
                </w:tcPr>
                <w:p w14:paraId="29816246">
                  <w:pPr>
                    <w:pStyle w:val="109"/>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与排气筒高度对应的大气污染物最高允许排放速率</w:t>
                  </w:r>
                </w:p>
                <w:p w14:paraId="60E64197">
                  <w:pPr>
                    <w:pStyle w:val="109"/>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（kg/h）</w:t>
                  </w:r>
                </w:p>
              </w:tc>
              <w:tc>
                <w:tcPr>
                  <w:tcW w:w="2469" w:type="dxa"/>
                  <w:vAlign w:val="center"/>
                </w:tcPr>
                <w:p w14:paraId="115D816A">
                  <w:pPr>
                    <w:pStyle w:val="109"/>
                    <w:rPr>
                      <w:rFonts w:hint="default" w:ascii="Times New Roman" w:hAnsi="Times New Roman" w:eastAsia="宋体" w:cs="Times New Roman"/>
                      <w:b/>
                      <w:bCs/>
                      <w:sz w:val="24"/>
                      <w:szCs w:val="24"/>
                    </w:rPr>
                  </w:pPr>
                </w:p>
                <w:p w14:paraId="1DC31EB1">
                  <w:pPr>
                    <w:pStyle w:val="109"/>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本项目需要执行的排放速率（kg/h）</w:t>
                  </w:r>
                </w:p>
              </w:tc>
            </w:tr>
            <w:tr w14:paraId="7133B1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1" w:hRule="atLeast"/>
              </w:trPr>
              <w:tc>
                <w:tcPr>
                  <w:tcW w:w="372" w:type="dxa"/>
                  <w:vMerge w:val="continue"/>
                  <w:tcBorders>
                    <w:top w:val="nil"/>
                  </w:tcBorders>
                  <w:vAlign w:val="center"/>
                </w:tcPr>
                <w:p w14:paraId="7FEFC8A2">
                  <w:pPr>
                    <w:pStyle w:val="109"/>
                    <w:rPr>
                      <w:rFonts w:hint="default" w:ascii="Times New Roman" w:hAnsi="Times New Roman" w:eastAsia="宋体" w:cs="Times New Roman"/>
                      <w:b/>
                      <w:bCs/>
                      <w:sz w:val="24"/>
                      <w:szCs w:val="24"/>
                    </w:rPr>
                  </w:pPr>
                </w:p>
              </w:tc>
              <w:tc>
                <w:tcPr>
                  <w:tcW w:w="1550" w:type="dxa"/>
                  <w:vMerge w:val="continue"/>
                  <w:tcBorders>
                    <w:top w:val="nil"/>
                  </w:tcBorders>
                  <w:vAlign w:val="center"/>
                </w:tcPr>
                <w:p w14:paraId="64692438">
                  <w:pPr>
                    <w:pStyle w:val="109"/>
                    <w:rPr>
                      <w:rFonts w:hint="default" w:ascii="Times New Roman" w:hAnsi="Times New Roman" w:eastAsia="宋体" w:cs="Times New Roman"/>
                      <w:b/>
                      <w:bCs/>
                      <w:sz w:val="24"/>
                      <w:szCs w:val="24"/>
                    </w:rPr>
                  </w:pPr>
                </w:p>
              </w:tc>
              <w:tc>
                <w:tcPr>
                  <w:tcW w:w="1097" w:type="dxa"/>
                  <w:vMerge w:val="continue"/>
                  <w:tcBorders>
                    <w:top w:val="nil"/>
                  </w:tcBorders>
                  <w:vAlign w:val="center"/>
                </w:tcPr>
                <w:p w14:paraId="1781D380">
                  <w:pPr>
                    <w:pStyle w:val="109"/>
                    <w:rPr>
                      <w:rFonts w:hint="default" w:ascii="Times New Roman" w:hAnsi="Times New Roman" w:eastAsia="宋体" w:cs="Times New Roman"/>
                      <w:b/>
                      <w:bCs/>
                      <w:sz w:val="24"/>
                      <w:szCs w:val="24"/>
                    </w:rPr>
                  </w:pPr>
                </w:p>
              </w:tc>
              <w:tc>
                <w:tcPr>
                  <w:tcW w:w="2469" w:type="dxa"/>
                  <w:vAlign w:val="center"/>
                </w:tcPr>
                <w:p w14:paraId="72771FC8">
                  <w:pPr>
                    <w:pStyle w:val="109"/>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15m</w:t>
                  </w:r>
                </w:p>
              </w:tc>
              <w:tc>
                <w:tcPr>
                  <w:tcW w:w="2469" w:type="dxa"/>
                  <w:vAlign w:val="center"/>
                </w:tcPr>
                <w:p w14:paraId="3701FF63">
                  <w:pPr>
                    <w:pStyle w:val="109"/>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15m</w:t>
                  </w:r>
                </w:p>
              </w:tc>
            </w:tr>
            <w:tr w14:paraId="1ECDC0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72" w:type="dxa"/>
                  <w:vAlign w:val="center"/>
                </w:tcPr>
                <w:p w14:paraId="1CA5B47A">
                  <w:pPr>
                    <w:pStyle w:val="110"/>
                    <w:spacing w:before="1" w:line="250" w:lineRule="exact"/>
                    <w:ind w:left="50"/>
                    <w:jc w:val="center"/>
                    <w:rPr>
                      <w:rFonts w:hint="default" w:ascii="Times New Roman" w:hAnsi="Times New Roman" w:eastAsia="宋体" w:cs="Times New Roman"/>
                      <w:sz w:val="24"/>
                      <w:szCs w:val="24"/>
                    </w:rPr>
                  </w:pPr>
                  <w:r>
                    <w:rPr>
                      <w:rFonts w:hint="default" w:ascii="Times New Roman" w:hAnsi="Times New Roman" w:eastAsia="宋体" w:cs="Times New Roman"/>
                      <w:w w:val="100"/>
                      <w:sz w:val="24"/>
                      <w:szCs w:val="24"/>
                    </w:rPr>
                    <w:t>一</w:t>
                  </w:r>
                </w:p>
              </w:tc>
              <w:tc>
                <w:tcPr>
                  <w:tcW w:w="7585" w:type="dxa"/>
                  <w:gridSpan w:val="4"/>
                  <w:vAlign w:val="center"/>
                </w:tcPr>
                <w:p w14:paraId="33E8B28F">
                  <w:pPr>
                    <w:pStyle w:val="10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无机气态污染物</w:t>
                  </w:r>
                </w:p>
              </w:tc>
            </w:tr>
            <w:tr w14:paraId="1FEEA7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5" w:hRule="atLeast"/>
              </w:trPr>
              <w:tc>
                <w:tcPr>
                  <w:tcW w:w="372" w:type="dxa"/>
                  <w:vAlign w:val="center"/>
                </w:tcPr>
                <w:p w14:paraId="3BC47A1E">
                  <w:pPr>
                    <w:pStyle w:val="110"/>
                    <w:spacing w:before="10"/>
                    <w:ind w:left="7"/>
                    <w:jc w:val="center"/>
                    <w:rPr>
                      <w:rFonts w:hint="default" w:ascii="Times New Roman" w:hAnsi="Times New Roman" w:eastAsia="宋体" w:cs="Times New Roman"/>
                      <w:sz w:val="24"/>
                      <w:szCs w:val="24"/>
                    </w:rPr>
                  </w:pPr>
                  <w:r>
                    <w:rPr>
                      <w:rFonts w:hint="default" w:ascii="Times New Roman" w:hAnsi="Times New Roman" w:eastAsia="宋体" w:cs="Times New Roman"/>
                      <w:w w:val="100"/>
                      <w:sz w:val="24"/>
                      <w:szCs w:val="24"/>
                    </w:rPr>
                    <w:t>1</w:t>
                  </w:r>
                </w:p>
              </w:tc>
              <w:tc>
                <w:tcPr>
                  <w:tcW w:w="1550" w:type="dxa"/>
                  <w:vAlign w:val="center"/>
                </w:tcPr>
                <w:p w14:paraId="4595A82B">
                  <w:pPr>
                    <w:pStyle w:val="10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氯化氢</w:t>
                  </w:r>
                </w:p>
              </w:tc>
              <w:tc>
                <w:tcPr>
                  <w:tcW w:w="1097" w:type="dxa"/>
                  <w:vAlign w:val="center"/>
                </w:tcPr>
                <w:p w14:paraId="5614C891">
                  <w:pPr>
                    <w:pStyle w:val="10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10</w:t>
                  </w:r>
                </w:p>
              </w:tc>
              <w:tc>
                <w:tcPr>
                  <w:tcW w:w="2469" w:type="dxa"/>
                  <w:vAlign w:val="center"/>
                </w:tcPr>
                <w:p w14:paraId="15F1ED5E">
                  <w:pPr>
                    <w:pStyle w:val="10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0.036</w:t>
                  </w:r>
                </w:p>
              </w:tc>
              <w:tc>
                <w:tcPr>
                  <w:tcW w:w="2469" w:type="dxa"/>
                  <w:vAlign w:val="center"/>
                </w:tcPr>
                <w:p w14:paraId="6E4D7F5D">
                  <w:pPr>
                    <w:pStyle w:val="10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0.018</w:t>
                  </w:r>
                </w:p>
              </w:tc>
            </w:tr>
            <w:tr w14:paraId="40CF05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8" w:hRule="atLeast"/>
              </w:trPr>
              <w:tc>
                <w:tcPr>
                  <w:tcW w:w="372" w:type="dxa"/>
                  <w:vAlign w:val="center"/>
                </w:tcPr>
                <w:p w14:paraId="7F3AB930">
                  <w:pPr>
                    <w:pStyle w:val="110"/>
                    <w:spacing w:before="3" w:line="250" w:lineRule="exact"/>
                    <w:ind w:left="50"/>
                    <w:jc w:val="center"/>
                    <w:rPr>
                      <w:rFonts w:hint="default" w:ascii="Times New Roman" w:hAnsi="Times New Roman" w:eastAsia="宋体" w:cs="Times New Roman"/>
                      <w:sz w:val="24"/>
                      <w:szCs w:val="24"/>
                    </w:rPr>
                  </w:pPr>
                  <w:r>
                    <w:rPr>
                      <w:rFonts w:hint="default" w:ascii="Times New Roman" w:hAnsi="Times New Roman" w:eastAsia="宋体" w:cs="Times New Roman"/>
                      <w:w w:val="100"/>
                      <w:sz w:val="24"/>
                      <w:szCs w:val="24"/>
                    </w:rPr>
                    <w:t>二</w:t>
                  </w:r>
                </w:p>
              </w:tc>
              <w:tc>
                <w:tcPr>
                  <w:tcW w:w="7585" w:type="dxa"/>
                  <w:gridSpan w:val="4"/>
                  <w:vAlign w:val="center"/>
                </w:tcPr>
                <w:p w14:paraId="40A6834E">
                  <w:pPr>
                    <w:pStyle w:val="10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有机气态污染物</w:t>
                  </w:r>
                </w:p>
              </w:tc>
            </w:tr>
            <w:tr w14:paraId="5702CC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5" w:hRule="atLeast"/>
              </w:trPr>
              <w:tc>
                <w:tcPr>
                  <w:tcW w:w="372" w:type="dxa"/>
                  <w:vAlign w:val="center"/>
                </w:tcPr>
                <w:p w14:paraId="3CF581DF">
                  <w:pPr>
                    <w:pStyle w:val="110"/>
                    <w:spacing w:before="10"/>
                    <w:ind w:left="7"/>
                    <w:jc w:val="center"/>
                    <w:rPr>
                      <w:rFonts w:hint="default" w:ascii="Times New Roman" w:hAnsi="Times New Roman" w:eastAsia="宋体" w:cs="Times New Roman"/>
                      <w:sz w:val="24"/>
                      <w:szCs w:val="24"/>
                    </w:rPr>
                  </w:pPr>
                  <w:r>
                    <w:rPr>
                      <w:rFonts w:hint="default" w:ascii="Times New Roman" w:hAnsi="Times New Roman" w:eastAsia="宋体" w:cs="Times New Roman"/>
                      <w:w w:val="100"/>
                      <w:sz w:val="24"/>
                      <w:szCs w:val="24"/>
                    </w:rPr>
                    <w:t>1</w:t>
                  </w:r>
                </w:p>
              </w:tc>
              <w:tc>
                <w:tcPr>
                  <w:tcW w:w="1550" w:type="dxa"/>
                  <w:vAlign w:val="center"/>
                </w:tcPr>
                <w:p w14:paraId="0401648E">
                  <w:pPr>
                    <w:pStyle w:val="10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甲醇</w:t>
                  </w:r>
                </w:p>
              </w:tc>
              <w:tc>
                <w:tcPr>
                  <w:tcW w:w="1097" w:type="dxa"/>
                  <w:vAlign w:val="center"/>
                </w:tcPr>
                <w:p w14:paraId="1F9C4B1A">
                  <w:pPr>
                    <w:pStyle w:val="10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50</w:t>
                  </w:r>
                </w:p>
              </w:tc>
              <w:tc>
                <w:tcPr>
                  <w:tcW w:w="2469" w:type="dxa"/>
                  <w:vAlign w:val="center"/>
                </w:tcPr>
                <w:p w14:paraId="53595B32">
                  <w:pPr>
                    <w:pStyle w:val="10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1.8</w:t>
                  </w:r>
                </w:p>
              </w:tc>
              <w:tc>
                <w:tcPr>
                  <w:tcW w:w="2469" w:type="dxa"/>
                  <w:vAlign w:val="center"/>
                </w:tcPr>
                <w:p w14:paraId="65550E94">
                  <w:pPr>
                    <w:pStyle w:val="10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0.9</w:t>
                  </w:r>
                </w:p>
              </w:tc>
            </w:tr>
            <w:tr w14:paraId="133522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7" w:hRule="atLeast"/>
              </w:trPr>
              <w:tc>
                <w:tcPr>
                  <w:tcW w:w="372" w:type="dxa"/>
                  <w:vAlign w:val="center"/>
                </w:tcPr>
                <w:p w14:paraId="348A899E">
                  <w:pPr>
                    <w:pStyle w:val="110"/>
                    <w:spacing w:before="12"/>
                    <w:ind w:left="7"/>
                    <w:jc w:val="center"/>
                    <w:rPr>
                      <w:rFonts w:hint="default" w:ascii="Times New Roman" w:hAnsi="Times New Roman" w:eastAsia="宋体" w:cs="Times New Roman"/>
                      <w:sz w:val="24"/>
                      <w:szCs w:val="24"/>
                    </w:rPr>
                  </w:pPr>
                  <w:r>
                    <w:rPr>
                      <w:rFonts w:hint="default" w:ascii="Times New Roman" w:hAnsi="Times New Roman" w:eastAsia="宋体" w:cs="Times New Roman"/>
                      <w:w w:val="100"/>
                      <w:sz w:val="24"/>
                      <w:szCs w:val="24"/>
                    </w:rPr>
                    <w:t>2</w:t>
                  </w:r>
                </w:p>
              </w:tc>
              <w:tc>
                <w:tcPr>
                  <w:tcW w:w="1550" w:type="dxa"/>
                  <w:vAlign w:val="center"/>
                </w:tcPr>
                <w:p w14:paraId="0D329B64">
                  <w:pPr>
                    <w:pStyle w:val="10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非甲烷总烃</w:t>
                  </w:r>
                </w:p>
              </w:tc>
              <w:tc>
                <w:tcPr>
                  <w:tcW w:w="1097" w:type="dxa"/>
                  <w:vAlign w:val="center"/>
                </w:tcPr>
                <w:p w14:paraId="14AF3EDE">
                  <w:pPr>
                    <w:pStyle w:val="10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50</w:t>
                  </w:r>
                </w:p>
              </w:tc>
              <w:tc>
                <w:tcPr>
                  <w:tcW w:w="2469" w:type="dxa"/>
                  <w:vAlign w:val="center"/>
                </w:tcPr>
                <w:p w14:paraId="04963EA4">
                  <w:pPr>
                    <w:pStyle w:val="10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3.6</w:t>
                  </w:r>
                </w:p>
              </w:tc>
              <w:tc>
                <w:tcPr>
                  <w:tcW w:w="2469" w:type="dxa"/>
                  <w:vAlign w:val="center"/>
                </w:tcPr>
                <w:p w14:paraId="4242A1A4">
                  <w:pPr>
                    <w:pStyle w:val="10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1.8</w:t>
                  </w:r>
                </w:p>
              </w:tc>
            </w:tr>
          </w:tbl>
          <w:p w14:paraId="2FAE9656">
            <w:pPr>
              <w:pStyle w:val="3"/>
              <w:ind w:firstLine="482" w:firstLineChars="200"/>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二、废水排放标准</w:t>
            </w:r>
          </w:p>
          <w:p w14:paraId="7A365097">
            <w:pPr>
              <w:pStyle w:val="3"/>
              <w:ind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根据环评批复，本项目产生的废水包括生活污水和检测废水、实验室地面、操作台等清洗废水、员工洁净服清洗废水，其中检测废水作为危废存放在危废暂存间，委托有资质的单位定期进行收集，处置；实验室地面、操作台等清洗废水、员工洁净服清洗废水经过企业自有污水处理站处理后，与生活污水一同排入项目所在院内化粪池，污水经化粪池消解后，排入市政污水管网，进入开发区东区污水处理厂进行处理。</w:t>
            </w:r>
          </w:p>
          <w:p w14:paraId="7D843677">
            <w:pPr>
              <w:pStyle w:val="3"/>
              <w:ind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本项目生活污水和生产废水（检测废水除外）排放执行北京市地方标准《水污染物综合排放标准》（DB11/307-2013）中排入公共污水处理系统的规定，标准限值具体限值见表1-2。</w:t>
            </w:r>
          </w:p>
          <w:p w14:paraId="31E88E93">
            <w:pPr>
              <w:pStyle w:val="3"/>
              <w:jc w:val="center"/>
              <w:rPr>
                <w:rFonts w:hint="default" w:ascii="Times New Roman" w:hAnsi="Times New Roman" w:eastAsia="宋体" w:cs="Times New Roman"/>
                <w:b/>
                <w:bCs/>
                <w:spacing w:val="-1"/>
                <w:sz w:val="24"/>
                <w:szCs w:val="24"/>
                <w:lang w:eastAsia="zh-CN"/>
              </w:rPr>
            </w:pPr>
            <w:r>
              <w:rPr>
                <w:rFonts w:hint="default" w:ascii="Times New Roman" w:hAnsi="Times New Roman" w:eastAsia="宋体" w:cs="Times New Roman"/>
                <w:b/>
                <w:bCs/>
                <w:spacing w:val="-1"/>
                <w:sz w:val="24"/>
                <w:szCs w:val="24"/>
              </w:rPr>
              <w:t xml:space="preserve">表 </w:t>
            </w:r>
            <w:r>
              <w:rPr>
                <w:rFonts w:hint="default" w:ascii="Times New Roman" w:hAnsi="Times New Roman" w:eastAsia="宋体" w:cs="Times New Roman"/>
                <w:b/>
                <w:bCs/>
                <w:spacing w:val="-1"/>
                <w:sz w:val="24"/>
                <w:szCs w:val="24"/>
                <w:lang w:val="en-US" w:eastAsia="zh-CN"/>
              </w:rPr>
              <w:t>1-2</w:t>
            </w:r>
            <w:r>
              <w:rPr>
                <w:rFonts w:hint="default" w:ascii="Times New Roman" w:hAnsi="Times New Roman" w:eastAsia="宋体" w:cs="Times New Roman"/>
                <w:b/>
                <w:bCs/>
                <w:spacing w:val="-1"/>
                <w:sz w:val="24"/>
                <w:szCs w:val="24"/>
              </w:rPr>
              <w:t xml:space="preserve"> </w:t>
            </w:r>
            <w:r>
              <w:rPr>
                <w:rFonts w:hint="default" w:ascii="Times New Roman" w:hAnsi="Times New Roman" w:eastAsia="宋体" w:cs="Times New Roman"/>
                <w:b/>
                <w:bCs/>
                <w:spacing w:val="-1"/>
                <w:sz w:val="24"/>
                <w:szCs w:val="24"/>
                <w:lang w:val="en-US" w:eastAsia="zh-CN"/>
              </w:rPr>
              <w:t>本</w:t>
            </w:r>
            <w:r>
              <w:rPr>
                <w:rFonts w:hint="default" w:ascii="Times New Roman" w:hAnsi="Times New Roman" w:eastAsia="宋体" w:cs="Times New Roman"/>
                <w:b/>
                <w:bCs/>
                <w:spacing w:val="-1"/>
                <w:sz w:val="24"/>
                <w:szCs w:val="24"/>
              </w:rPr>
              <w:t>项目</w:t>
            </w:r>
            <w:r>
              <w:rPr>
                <w:rFonts w:hint="default" w:ascii="Times New Roman" w:hAnsi="Times New Roman" w:eastAsia="宋体" w:cs="Times New Roman"/>
                <w:b/>
                <w:bCs/>
                <w:spacing w:val="-1"/>
                <w:sz w:val="24"/>
                <w:szCs w:val="24"/>
                <w:lang w:val="en-US" w:eastAsia="zh-CN"/>
              </w:rPr>
              <w:t>废水</w:t>
            </w:r>
            <w:r>
              <w:rPr>
                <w:rFonts w:hint="default" w:ascii="Times New Roman" w:hAnsi="Times New Roman" w:eastAsia="宋体" w:cs="Times New Roman"/>
                <w:b/>
                <w:bCs/>
                <w:spacing w:val="-1"/>
                <w:sz w:val="24"/>
                <w:szCs w:val="24"/>
              </w:rPr>
              <w:t>污染物排放</w:t>
            </w:r>
            <w:r>
              <w:rPr>
                <w:rFonts w:hint="default" w:ascii="Times New Roman" w:hAnsi="Times New Roman" w:eastAsia="宋体" w:cs="Times New Roman"/>
                <w:b/>
                <w:bCs/>
                <w:spacing w:val="-1"/>
                <w:sz w:val="24"/>
                <w:szCs w:val="24"/>
                <w:lang w:val="en-US" w:eastAsia="zh-CN"/>
              </w:rPr>
              <w:t>限值</w:t>
            </w:r>
          </w:p>
          <w:tbl>
            <w:tblPr>
              <w:tblStyle w:val="29"/>
              <w:tblW w:w="4994"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929"/>
              <w:gridCol w:w="995"/>
              <w:gridCol w:w="1134"/>
              <w:gridCol w:w="1102"/>
              <w:gridCol w:w="1103"/>
              <w:gridCol w:w="829"/>
              <w:gridCol w:w="1665"/>
            </w:tblGrid>
            <w:tr w14:paraId="7A6B0F2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81" w:hRule="atLeast"/>
                <w:jc w:val="center"/>
              </w:trPr>
              <w:tc>
                <w:tcPr>
                  <w:tcW w:w="598" w:type="pct"/>
                  <w:noWrap w:val="0"/>
                  <w:vAlign w:val="center"/>
                </w:tcPr>
                <w:p w14:paraId="6DAA77DF">
                  <w:pPr>
                    <w:jc w:val="center"/>
                    <w:rPr>
                      <w:rFonts w:hint="default" w:ascii="Times New Roman" w:hAnsi="Times New Roman" w:eastAsia="宋体" w:cs="Times New Roman"/>
                      <w:b/>
                      <w:color w:val="000000"/>
                      <w:sz w:val="24"/>
                      <w:szCs w:val="24"/>
                    </w:rPr>
                  </w:pPr>
                  <w:r>
                    <w:rPr>
                      <w:rFonts w:hint="default" w:ascii="Times New Roman" w:hAnsi="Times New Roman" w:eastAsia="宋体" w:cs="Times New Roman"/>
                      <w:b/>
                      <w:color w:val="000000"/>
                      <w:sz w:val="24"/>
                      <w:szCs w:val="24"/>
                    </w:rPr>
                    <w:t>污染物</w:t>
                  </w:r>
                </w:p>
              </w:tc>
              <w:tc>
                <w:tcPr>
                  <w:tcW w:w="641" w:type="pct"/>
                  <w:noWrap w:val="0"/>
                  <w:vAlign w:val="center"/>
                </w:tcPr>
                <w:p w14:paraId="7163C2F9">
                  <w:pPr>
                    <w:jc w:val="center"/>
                    <w:rPr>
                      <w:rFonts w:hint="default" w:ascii="Times New Roman" w:hAnsi="Times New Roman" w:eastAsia="宋体" w:cs="Times New Roman"/>
                      <w:b/>
                      <w:color w:val="000000"/>
                      <w:sz w:val="24"/>
                      <w:szCs w:val="24"/>
                    </w:rPr>
                  </w:pPr>
                  <w:r>
                    <w:rPr>
                      <w:rFonts w:hint="default" w:ascii="Times New Roman" w:hAnsi="Times New Roman" w:eastAsia="宋体" w:cs="Times New Roman"/>
                      <w:b/>
                      <w:bCs/>
                      <w:color w:val="000000"/>
                      <w:sz w:val="24"/>
                      <w:szCs w:val="24"/>
                    </w:rPr>
                    <w:t>pH</w:t>
                  </w:r>
                </w:p>
              </w:tc>
              <w:tc>
                <w:tcPr>
                  <w:tcW w:w="730" w:type="pct"/>
                  <w:noWrap w:val="0"/>
                  <w:vAlign w:val="center"/>
                </w:tcPr>
                <w:p w14:paraId="11619457">
                  <w:pPr>
                    <w:jc w:val="center"/>
                    <w:rPr>
                      <w:rFonts w:hint="default" w:ascii="Times New Roman" w:hAnsi="Times New Roman" w:eastAsia="宋体" w:cs="Times New Roman"/>
                      <w:b/>
                      <w:color w:val="000000"/>
                      <w:sz w:val="24"/>
                      <w:szCs w:val="24"/>
                    </w:rPr>
                  </w:pPr>
                  <w:r>
                    <w:rPr>
                      <w:rFonts w:hint="default" w:ascii="Times New Roman" w:hAnsi="Times New Roman" w:eastAsia="宋体" w:cs="Times New Roman"/>
                      <w:b/>
                      <w:color w:val="000000"/>
                      <w:sz w:val="24"/>
                      <w:szCs w:val="24"/>
                    </w:rPr>
                    <w:t>COD</w:t>
                  </w:r>
                  <w:r>
                    <w:rPr>
                      <w:rFonts w:hint="default" w:ascii="Times New Roman" w:hAnsi="Times New Roman" w:eastAsia="宋体" w:cs="Times New Roman"/>
                      <w:b/>
                      <w:color w:val="000000"/>
                      <w:sz w:val="24"/>
                      <w:szCs w:val="24"/>
                      <w:vertAlign w:val="subscript"/>
                    </w:rPr>
                    <w:t>Cr</w:t>
                  </w:r>
                </w:p>
              </w:tc>
              <w:tc>
                <w:tcPr>
                  <w:tcW w:w="710" w:type="pct"/>
                  <w:noWrap w:val="0"/>
                  <w:vAlign w:val="center"/>
                </w:tcPr>
                <w:p w14:paraId="30D01A8E">
                  <w:pPr>
                    <w:jc w:val="center"/>
                    <w:rPr>
                      <w:rFonts w:hint="default" w:ascii="Times New Roman" w:hAnsi="Times New Roman" w:eastAsia="宋体" w:cs="Times New Roman"/>
                      <w:b/>
                      <w:color w:val="000000"/>
                      <w:sz w:val="24"/>
                      <w:szCs w:val="24"/>
                    </w:rPr>
                  </w:pPr>
                  <w:r>
                    <w:rPr>
                      <w:rFonts w:hint="default" w:ascii="Times New Roman" w:hAnsi="Times New Roman" w:eastAsia="宋体" w:cs="Times New Roman"/>
                      <w:b/>
                      <w:color w:val="000000"/>
                      <w:sz w:val="24"/>
                      <w:szCs w:val="24"/>
                    </w:rPr>
                    <w:t>BOD</w:t>
                  </w:r>
                  <w:r>
                    <w:rPr>
                      <w:rFonts w:hint="default" w:ascii="Times New Roman" w:hAnsi="Times New Roman" w:eastAsia="宋体" w:cs="Times New Roman"/>
                      <w:b/>
                      <w:color w:val="000000"/>
                      <w:sz w:val="24"/>
                      <w:szCs w:val="24"/>
                      <w:vertAlign w:val="subscript"/>
                    </w:rPr>
                    <w:t>5</w:t>
                  </w:r>
                </w:p>
              </w:tc>
              <w:tc>
                <w:tcPr>
                  <w:tcW w:w="710" w:type="pct"/>
                  <w:noWrap w:val="0"/>
                  <w:vAlign w:val="center"/>
                </w:tcPr>
                <w:p w14:paraId="2D67F8DF">
                  <w:pPr>
                    <w:jc w:val="center"/>
                    <w:rPr>
                      <w:rFonts w:hint="default" w:ascii="Times New Roman" w:hAnsi="Times New Roman" w:eastAsia="宋体" w:cs="Times New Roman"/>
                      <w:b/>
                      <w:color w:val="000000"/>
                      <w:sz w:val="24"/>
                      <w:szCs w:val="24"/>
                    </w:rPr>
                  </w:pPr>
                  <w:r>
                    <w:rPr>
                      <w:rFonts w:hint="default" w:ascii="Times New Roman" w:hAnsi="Times New Roman" w:eastAsia="宋体" w:cs="Times New Roman"/>
                      <w:b/>
                      <w:color w:val="000000"/>
                      <w:sz w:val="24"/>
                      <w:szCs w:val="24"/>
                    </w:rPr>
                    <w:t>SS</w:t>
                  </w:r>
                </w:p>
              </w:tc>
              <w:tc>
                <w:tcPr>
                  <w:tcW w:w="534" w:type="pct"/>
                  <w:noWrap w:val="0"/>
                  <w:vAlign w:val="center"/>
                </w:tcPr>
                <w:p w14:paraId="7F76B2F3">
                  <w:pPr>
                    <w:jc w:val="center"/>
                    <w:rPr>
                      <w:rFonts w:hint="default" w:ascii="Times New Roman" w:hAnsi="Times New Roman" w:eastAsia="宋体" w:cs="Times New Roman"/>
                      <w:b/>
                      <w:color w:val="000000"/>
                      <w:sz w:val="24"/>
                      <w:szCs w:val="24"/>
                    </w:rPr>
                  </w:pPr>
                  <w:r>
                    <w:rPr>
                      <w:rFonts w:hint="default" w:ascii="Times New Roman" w:hAnsi="Times New Roman" w:eastAsia="宋体" w:cs="Times New Roman"/>
                      <w:b/>
                      <w:color w:val="000000"/>
                      <w:sz w:val="24"/>
                      <w:szCs w:val="24"/>
                    </w:rPr>
                    <w:t>氨氮</w:t>
                  </w:r>
                </w:p>
              </w:tc>
              <w:tc>
                <w:tcPr>
                  <w:tcW w:w="1073" w:type="pct"/>
                  <w:noWrap w:val="0"/>
                  <w:vAlign w:val="center"/>
                </w:tcPr>
                <w:p w14:paraId="785FD523">
                  <w:pPr>
                    <w:jc w:val="center"/>
                    <w:rPr>
                      <w:rFonts w:hint="default" w:ascii="Times New Roman" w:hAnsi="Times New Roman" w:eastAsia="宋体" w:cs="Times New Roman"/>
                      <w:b/>
                      <w:color w:val="000000"/>
                      <w:sz w:val="24"/>
                      <w:szCs w:val="24"/>
                    </w:rPr>
                  </w:pPr>
                  <w:r>
                    <w:rPr>
                      <w:rFonts w:hint="default" w:ascii="Times New Roman" w:hAnsi="Times New Roman" w:eastAsia="宋体" w:cs="Times New Roman"/>
                      <w:b/>
                      <w:color w:val="000000"/>
                      <w:sz w:val="24"/>
                      <w:szCs w:val="24"/>
                    </w:rPr>
                    <w:t>可溶性固体总量</w:t>
                  </w:r>
                </w:p>
              </w:tc>
            </w:tr>
            <w:tr w14:paraId="3DB6783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598" w:type="pct"/>
                  <w:noWrap w:val="0"/>
                  <w:vAlign w:val="center"/>
                </w:tcPr>
                <w:p w14:paraId="203385AA">
                  <w:pPr>
                    <w:pStyle w:val="67"/>
                    <w:rPr>
                      <w:rFonts w:hint="default" w:ascii="Times New Roman" w:hAnsi="Times New Roman" w:eastAsia="宋体" w:cs="Times New Roman"/>
                      <w:color w:val="000000"/>
                      <w:kern w:val="0"/>
                      <w:sz w:val="24"/>
                      <w:szCs w:val="24"/>
                    </w:rPr>
                  </w:pPr>
                  <w:r>
                    <w:rPr>
                      <w:rFonts w:hint="default" w:ascii="Times New Roman" w:hAnsi="Times New Roman" w:eastAsia="宋体" w:cs="Times New Roman"/>
                      <w:color w:val="000000"/>
                      <w:kern w:val="0"/>
                      <w:sz w:val="24"/>
                      <w:szCs w:val="24"/>
                    </w:rPr>
                    <w:t>限值</w:t>
                  </w:r>
                </w:p>
              </w:tc>
              <w:tc>
                <w:tcPr>
                  <w:tcW w:w="641" w:type="pct"/>
                  <w:noWrap w:val="0"/>
                  <w:vAlign w:val="center"/>
                </w:tcPr>
                <w:p w14:paraId="183AE24A">
                  <w:pPr>
                    <w:jc w:val="center"/>
                    <w:rPr>
                      <w:rFonts w:hint="default" w:ascii="Times New Roman" w:hAnsi="Times New Roman" w:eastAsia="宋体" w:cs="Times New Roman"/>
                      <w:color w:val="000000"/>
                      <w:kern w:val="0"/>
                      <w:sz w:val="24"/>
                      <w:szCs w:val="24"/>
                    </w:rPr>
                  </w:pPr>
                  <w:r>
                    <w:rPr>
                      <w:rFonts w:hint="default" w:ascii="Times New Roman" w:hAnsi="Times New Roman" w:eastAsia="宋体" w:cs="Times New Roman"/>
                      <w:color w:val="000000"/>
                      <w:sz w:val="24"/>
                      <w:szCs w:val="24"/>
                    </w:rPr>
                    <w:t>6.5-9</w:t>
                  </w:r>
                </w:p>
              </w:tc>
              <w:tc>
                <w:tcPr>
                  <w:tcW w:w="730" w:type="pct"/>
                  <w:noWrap w:val="0"/>
                  <w:vAlign w:val="center"/>
                </w:tcPr>
                <w:p w14:paraId="56BA9946">
                  <w:pPr>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500</w:t>
                  </w:r>
                </w:p>
              </w:tc>
              <w:tc>
                <w:tcPr>
                  <w:tcW w:w="710" w:type="pct"/>
                  <w:noWrap w:val="0"/>
                  <w:vAlign w:val="center"/>
                </w:tcPr>
                <w:p w14:paraId="0C9FEACF">
                  <w:pPr>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300</w:t>
                  </w:r>
                </w:p>
              </w:tc>
              <w:tc>
                <w:tcPr>
                  <w:tcW w:w="710" w:type="pct"/>
                  <w:noWrap w:val="0"/>
                  <w:vAlign w:val="center"/>
                </w:tcPr>
                <w:p w14:paraId="48B16CFB">
                  <w:pPr>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400</w:t>
                  </w:r>
                </w:p>
              </w:tc>
              <w:tc>
                <w:tcPr>
                  <w:tcW w:w="534" w:type="pct"/>
                  <w:noWrap w:val="0"/>
                  <w:vAlign w:val="center"/>
                </w:tcPr>
                <w:p w14:paraId="1E668426">
                  <w:pPr>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45</w:t>
                  </w:r>
                </w:p>
              </w:tc>
              <w:tc>
                <w:tcPr>
                  <w:tcW w:w="1073" w:type="pct"/>
                  <w:noWrap w:val="0"/>
                  <w:vAlign w:val="center"/>
                </w:tcPr>
                <w:p w14:paraId="4B64462B">
                  <w:pPr>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1600</w:t>
                  </w:r>
                </w:p>
              </w:tc>
            </w:tr>
          </w:tbl>
          <w:p w14:paraId="1E1E72BC">
            <w:pPr>
              <w:pStyle w:val="3"/>
              <w:ind w:firstLine="482" w:firstLineChars="200"/>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三</w:t>
            </w:r>
            <w:r>
              <w:rPr>
                <w:rFonts w:hint="default" w:ascii="Times New Roman" w:hAnsi="Times New Roman" w:eastAsia="宋体" w:cs="Times New Roman"/>
                <w:color w:val="000000" w:themeColor="text1"/>
                <w:sz w:val="24"/>
                <w:szCs w:val="24"/>
                <w14:textFill>
                  <w14:solidFill>
                    <w14:schemeClr w14:val="tx1"/>
                  </w14:solidFill>
                </w14:textFill>
              </w:rPr>
              <w:t>、厂界噪声排放标准</w:t>
            </w:r>
          </w:p>
          <w:p w14:paraId="4F65E948">
            <w:pPr>
              <w:pStyle w:val="51"/>
              <w:spacing w:line="360" w:lineRule="auto"/>
              <w:ind w:firstLine="480" w:firstLineChars="200"/>
              <w:jc w:val="both"/>
              <w:rPr>
                <w:rFonts w:hint="default" w:ascii="Times New Roman" w:hAnsi="Times New Roman" w:eastAsia="宋体" w:cs="Times New Roman"/>
                <w:b/>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kern w:val="2"/>
                <w:sz w:val="24"/>
                <w:szCs w:val="24"/>
                <w14:textFill>
                  <w14:solidFill>
                    <w14:schemeClr w14:val="tx1"/>
                  </w14:solidFill>
                </w14:textFill>
              </w:rPr>
              <w:t>根据环评批复，本项目厂界噪声排放执行《工业企业厂界环境噪声排放标准》（GB12348-2008）中的 3 类标准，具体限值见下表</w:t>
            </w:r>
            <w:r>
              <w:rPr>
                <w:rFonts w:hint="default" w:ascii="Times New Roman" w:hAnsi="Times New Roman" w:eastAsia="宋体" w:cs="Times New Roman"/>
                <w:color w:val="000000" w:themeColor="text1"/>
                <w:kern w:val="2"/>
                <w:sz w:val="24"/>
                <w:szCs w:val="24"/>
                <w:lang w:val="en-US" w:eastAsia="zh-CN"/>
                <w14:textFill>
                  <w14:solidFill>
                    <w14:schemeClr w14:val="tx1"/>
                  </w14:solidFill>
                </w14:textFill>
              </w:rPr>
              <w:t>1-3</w:t>
            </w:r>
            <w:r>
              <w:rPr>
                <w:rFonts w:hint="default" w:ascii="Times New Roman" w:hAnsi="Times New Roman" w:eastAsia="宋体" w:cs="Times New Roman"/>
                <w:color w:val="000000" w:themeColor="text1"/>
                <w:kern w:val="2"/>
                <w:sz w:val="24"/>
                <w:szCs w:val="24"/>
                <w14:textFill>
                  <w14:solidFill>
                    <w14:schemeClr w14:val="tx1"/>
                  </w14:solidFill>
                </w14:textFill>
              </w:rPr>
              <w:t>。</w:t>
            </w:r>
          </w:p>
          <w:p w14:paraId="349062A6">
            <w:pPr>
              <w:pStyle w:val="3"/>
              <w:jc w:val="center"/>
              <w:rPr>
                <w:rFonts w:hint="default" w:ascii="Times New Roman" w:hAnsi="Times New Roman" w:eastAsia="宋体" w:cs="Times New Roman"/>
                <w:b/>
                <w:bCs/>
                <w:spacing w:val="-1"/>
                <w:sz w:val="24"/>
                <w:szCs w:val="24"/>
              </w:rPr>
            </w:pPr>
            <w:r>
              <w:rPr>
                <w:rFonts w:hint="default" w:ascii="Times New Roman" w:hAnsi="Times New Roman" w:eastAsia="宋体" w:cs="Times New Roman"/>
                <w:b/>
                <w:bCs/>
                <w:spacing w:val="-1"/>
                <w:sz w:val="24"/>
                <w:szCs w:val="24"/>
              </w:rPr>
              <w:t>表1-</w:t>
            </w:r>
            <w:r>
              <w:rPr>
                <w:rFonts w:hint="default" w:ascii="Times New Roman" w:hAnsi="Times New Roman" w:eastAsia="宋体" w:cs="Times New Roman"/>
                <w:b/>
                <w:bCs/>
                <w:spacing w:val="-1"/>
                <w:sz w:val="24"/>
                <w:szCs w:val="24"/>
                <w:lang w:val="en-US" w:eastAsia="zh-CN"/>
              </w:rPr>
              <w:t>3</w:t>
            </w:r>
            <w:r>
              <w:rPr>
                <w:rFonts w:hint="default" w:ascii="Times New Roman" w:hAnsi="Times New Roman" w:eastAsia="宋体" w:cs="Times New Roman"/>
                <w:b/>
                <w:bCs/>
                <w:spacing w:val="-1"/>
                <w:sz w:val="24"/>
                <w:szCs w:val="24"/>
              </w:rPr>
              <w:t>厂界噪声排放标准</w:t>
            </w:r>
          </w:p>
          <w:tbl>
            <w:tblPr>
              <w:tblStyle w:val="72"/>
              <w:tblW w:w="8099" w:type="dxa"/>
              <w:tblInd w:w="7"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382"/>
              <w:gridCol w:w="2299"/>
              <w:gridCol w:w="2418"/>
            </w:tblGrid>
            <w:tr w14:paraId="1AE4BE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36" w:hRule="atLeast"/>
              </w:trPr>
              <w:tc>
                <w:tcPr>
                  <w:tcW w:w="3382" w:type="dxa"/>
                  <w:tcBorders>
                    <w:top w:val="single" w:color="000000" w:sz="10" w:space="0"/>
                    <w:tl2br w:val="single" w:color="000000" w:sz="2" w:space="0"/>
                  </w:tcBorders>
                  <w:vAlign w:val="center"/>
                </w:tcPr>
                <w:p w14:paraId="6D306FF4">
                  <w:pPr>
                    <w:pStyle w:val="40"/>
                    <w:spacing w:before="29" w:line="222" w:lineRule="auto"/>
                    <w:jc w:val="left"/>
                    <w:rPr>
                      <w:rFonts w:hint="default" w:ascii="Times New Roman" w:hAnsi="Times New Roman" w:eastAsia="宋体" w:cs="Times New Roman"/>
                      <w:sz w:val="24"/>
                      <w:szCs w:val="24"/>
                    </w:rPr>
                  </w:pPr>
                  <w:r>
                    <w:rPr>
                      <w:rFonts w:hint="default" w:ascii="Times New Roman" w:hAnsi="Times New Roman" w:eastAsia="宋体" w:cs="Times New Roman"/>
                      <w:b/>
                      <w:bCs/>
                      <w:spacing w:val="-7"/>
                      <w:sz w:val="24"/>
                      <w:szCs w:val="24"/>
                      <w:lang w:val="en-US" w:eastAsia="zh-CN"/>
                    </w:rPr>
                    <w:t xml:space="preserve">                        </w:t>
                  </w:r>
                  <w:r>
                    <w:rPr>
                      <w:rFonts w:hint="default" w:ascii="Times New Roman" w:hAnsi="Times New Roman" w:eastAsia="宋体" w:cs="Times New Roman"/>
                      <w:b/>
                      <w:bCs/>
                      <w:spacing w:val="-7"/>
                      <w:sz w:val="24"/>
                      <w:szCs w:val="24"/>
                    </w:rPr>
                    <w:t>时段</w:t>
                  </w:r>
                </w:p>
                <w:p w14:paraId="5C0D7111">
                  <w:pPr>
                    <w:pStyle w:val="40"/>
                    <w:spacing w:before="18" w:line="221" w:lineRule="auto"/>
                    <w:ind w:firstLine="699" w:firstLineChars="300"/>
                    <w:jc w:val="left"/>
                    <w:rPr>
                      <w:rFonts w:hint="default" w:ascii="Times New Roman" w:hAnsi="Times New Roman" w:eastAsia="宋体" w:cs="Times New Roman"/>
                      <w:sz w:val="24"/>
                      <w:szCs w:val="24"/>
                    </w:rPr>
                  </w:pPr>
                  <w:r>
                    <w:rPr>
                      <w:rFonts w:hint="default" w:ascii="Times New Roman" w:hAnsi="Times New Roman" w:eastAsia="宋体" w:cs="Times New Roman"/>
                      <w:b/>
                      <w:bCs/>
                      <w:spacing w:val="-4"/>
                      <w:sz w:val="24"/>
                      <w:szCs w:val="24"/>
                    </w:rPr>
                    <w:t>厂界外</w:t>
                  </w:r>
                </w:p>
                <w:p w14:paraId="70BB5A33">
                  <w:pPr>
                    <w:pStyle w:val="40"/>
                    <w:spacing w:before="22" w:line="199" w:lineRule="auto"/>
                    <w:ind w:left="220"/>
                    <w:jc w:val="left"/>
                    <w:rPr>
                      <w:rFonts w:hint="default" w:ascii="Times New Roman" w:hAnsi="Times New Roman" w:eastAsia="宋体" w:cs="Times New Roman"/>
                      <w:sz w:val="24"/>
                      <w:szCs w:val="24"/>
                    </w:rPr>
                  </w:pPr>
                  <w:r>
                    <w:rPr>
                      <w:rFonts w:hint="default" w:ascii="Times New Roman" w:hAnsi="Times New Roman" w:eastAsia="宋体" w:cs="Times New Roman"/>
                      <w:b/>
                      <w:bCs/>
                      <w:spacing w:val="-3"/>
                      <w:sz w:val="24"/>
                      <w:szCs w:val="24"/>
                    </w:rPr>
                    <w:t>声环境功能区类别</w:t>
                  </w:r>
                </w:p>
              </w:tc>
              <w:tc>
                <w:tcPr>
                  <w:tcW w:w="2299" w:type="dxa"/>
                  <w:tcBorders>
                    <w:top w:val="single" w:color="000000" w:sz="10" w:space="0"/>
                  </w:tcBorders>
                  <w:vAlign w:val="top"/>
                </w:tcPr>
                <w:p w14:paraId="7E013A56">
                  <w:pPr>
                    <w:pStyle w:val="40"/>
                    <w:spacing w:before="301" w:line="223" w:lineRule="auto"/>
                    <w:ind w:left="840"/>
                    <w:jc w:val="both"/>
                    <w:rPr>
                      <w:rFonts w:hint="default" w:ascii="Times New Roman" w:hAnsi="Times New Roman" w:eastAsia="宋体" w:cs="Times New Roman"/>
                      <w:sz w:val="24"/>
                      <w:szCs w:val="24"/>
                    </w:rPr>
                  </w:pPr>
                  <w:r>
                    <w:rPr>
                      <w:rFonts w:hint="default" w:ascii="Times New Roman" w:hAnsi="Times New Roman" w:eastAsia="宋体" w:cs="Times New Roman"/>
                      <w:b/>
                      <w:bCs/>
                      <w:spacing w:val="-4"/>
                      <w:sz w:val="24"/>
                      <w:szCs w:val="24"/>
                    </w:rPr>
                    <w:t>昼间</w:t>
                  </w:r>
                </w:p>
              </w:tc>
              <w:tc>
                <w:tcPr>
                  <w:tcW w:w="2418" w:type="dxa"/>
                  <w:tcBorders>
                    <w:top w:val="single" w:color="000000" w:sz="10" w:space="0"/>
                    <w:right w:val="single" w:color="000000" w:sz="6" w:space="0"/>
                  </w:tcBorders>
                  <w:vAlign w:val="top"/>
                </w:tcPr>
                <w:p w14:paraId="30C2CCEF">
                  <w:pPr>
                    <w:pStyle w:val="40"/>
                    <w:spacing w:before="300" w:line="221" w:lineRule="auto"/>
                    <w:ind w:left="781"/>
                    <w:jc w:val="both"/>
                    <w:rPr>
                      <w:rFonts w:hint="default" w:ascii="Times New Roman" w:hAnsi="Times New Roman" w:eastAsia="宋体" w:cs="Times New Roman"/>
                      <w:sz w:val="24"/>
                      <w:szCs w:val="24"/>
                    </w:rPr>
                  </w:pPr>
                  <w:r>
                    <w:rPr>
                      <w:rFonts w:hint="default" w:ascii="Times New Roman" w:hAnsi="Times New Roman" w:eastAsia="宋体" w:cs="Times New Roman"/>
                      <w:b/>
                      <w:bCs/>
                      <w:spacing w:val="-5"/>
                      <w:sz w:val="24"/>
                      <w:szCs w:val="24"/>
                    </w:rPr>
                    <w:t>夜间</w:t>
                  </w:r>
                </w:p>
              </w:tc>
            </w:tr>
            <w:tr w14:paraId="09A25FB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9" w:hRule="atLeast"/>
              </w:trPr>
              <w:tc>
                <w:tcPr>
                  <w:tcW w:w="3382" w:type="dxa"/>
                  <w:vAlign w:val="top"/>
                </w:tcPr>
                <w:p w14:paraId="61D9A9CF">
                  <w:pPr>
                    <w:pStyle w:val="40"/>
                    <w:spacing w:before="84" w:line="221" w:lineRule="auto"/>
                    <w:jc w:val="center"/>
                    <w:rPr>
                      <w:rFonts w:hint="default" w:ascii="Times New Roman" w:hAnsi="Times New Roman" w:eastAsia="宋体" w:cs="Times New Roman"/>
                      <w:sz w:val="24"/>
                      <w:szCs w:val="24"/>
                    </w:rPr>
                  </w:pPr>
                  <w:r>
                    <w:rPr>
                      <w:rFonts w:hint="default" w:ascii="Times New Roman" w:hAnsi="Times New Roman" w:eastAsia="宋体" w:cs="Times New Roman"/>
                      <w:spacing w:val="-5"/>
                      <w:sz w:val="24"/>
                      <w:szCs w:val="24"/>
                    </w:rPr>
                    <w:t>3</w:t>
                  </w:r>
                  <w:r>
                    <w:rPr>
                      <w:rFonts w:hint="default" w:ascii="Times New Roman" w:hAnsi="Times New Roman" w:eastAsia="宋体" w:cs="Times New Roman"/>
                      <w:spacing w:val="9"/>
                      <w:sz w:val="24"/>
                      <w:szCs w:val="24"/>
                    </w:rPr>
                    <w:t xml:space="preserve"> </w:t>
                  </w:r>
                  <w:r>
                    <w:rPr>
                      <w:rFonts w:hint="default" w:ascii="Times New Roman" w:hAnsi="Times New Roman" w:eastAsia="宋体" w:cs="Times New Roman"/>
                      <w:spacing w:val="-5"/>
                      <w:sz w:val="24"/>
                      <w:szCs w:val="24"/>
                    </w:rPr>
                    <w:t>类</w:t>
                  </w:r>
                </w:p>
              </w:tc>
              <w:tc>
                <w:tcPr>
                  <w:tcW w:w="2299" w:type="dxa"/>
                  <w:vAlign w:val="top"/>
                </w:tcPr>
                <w:p w14:paraId="3E02DC44">
                  <w:pPr>
                    <w:spacing w:before="123" w:line="187" w:lineRule="auto"/>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pacing w:val="-2"/>
                      <w:sz w:val="24"/>
                      <w:szCs w:val="24"/>
                    </w:rPr>
                    <w:t>65</w:t>
                  </w:r>
                  <w:r>
                    <w:rPr>
                      <w:rFonts w:hint="default" w:ascii="Times New Roman" w:hAnsi="Times New Roman" w:eastAsia="宋体" w:cs="Times New Roman"/>
                      <w:spacing w:val="-2"/>
                      <w:sz w:val="24"/>
                      <w:szCs w:val="24"/>
                      <w:lang w:val="en-US" w:eastAsia="zh-CN"/>
                    </w:rPr>
                    <w:t>dB（A）</w:t>
                  </w:r>
                </w:p>
              </w:tc>
              <w:tc>
                <w:tcPr>
                  <w:tcW w:w="2418" w:type="dxa"/>
                  <w:tcBorders>
                    <w:right w:val="single" w:color="000000" w:sz="6" w:space="0"/>
                  </w:tcBorders>
                  <w:vAlign w:val="top"/>
                </w:tcPr>
                <w:p w14:paraId="6512ADC0">
                  <w:pPr>
                    <w:spacing w:before="126" w:line="184" w:lineRule="auto"/>
                    <w:jc w:val="center"/>
                    <w:rPr>
                      <w:rFonts w:hint="default" w:ascii="Times New Roman" w:hAnsi="Times New Roman" w:eastAsia="宋体" w:cs="Times New Roman"/>
                      <w:sz w:val="24"/>
                      <w:szCs w:val="24"/>
                    </w:rPr>
                  </w:pPr>
                  <w:r>
                    <w:rPr>
                      <w:rFonts w:hint="default" w:ascii="Times New Roman" w:hAnsi="Times New Roman" w:eastAsia="宋体" w:cs="Times New Roman"/>
                      <w:spacing w:val="-3"/>
                      <w:sz w:val="24"/>
                      <w:szCs w:val="24"/>
                    </w:rPr>
                    <w:t>55</w:t>
                  </w:r>
                  <w:r>
                    <w:rPr>
                      <w:rFonts w:hint="default" w:ascii="Times New Roman" w:hAnsi="Times New Roman" w:eastAsia="宋体" w:cs="Times New Roman"/>
                      <w:spacing w:val="-2"/>
                      <w:sz w:val="24"/>
                      <w:szCs w:val="24"/>
                      <w:lang w:val="en-US" w:eastAsia="zh-CN"/>
                    </w:rPr>
                    <w:t>dB（A）</w:t>
                  </w:r>
                </w:p>
              </w:tc>
            </w:tr>
          </w:tbl>
          <w:p w14:paraId="1AE72D88">
            <w:pPr>
              <w:pStyle w:val="3"/>
              <w:ind w:firstLine="482" w:firstLineChars="200"/>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四、固体废物</w:t>
            </w:r>
          </w:p>
          <w:p w14:paraId="0F65AC46">
            <w:pPr>
              <w:pStyle w:val="51"/>
              <w:spacing w:line="360" w:lineRule="auto"/>
              <w:ind w:firstLine="480" w:firstLineChars="200"/>
              <w:jc w:val="both"/>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kern w:val="2"/>
                <w:sz w:val="24"/>
                <w:szCs w:val="24"/>
                <w:lang w:val="en-US" w:eastAsia="zh-CN" w:bidi="ar-SA"/>
              </w:rPr>
              <w:t>根据批复，本项目危险废物：执行《危险废物贮存污染控制标准》（GB18597-2001）及 2013 年修改单规定进行处置，同时其收集、运输、包装等应符合《危险废物污染防治技术政策》。生活垃圾：执行《中华人民共和国固体废物污染环境防治法》(2020 年修订版)“生活垃圾污染环境的防治”中相关规定和《北京市生活垃圾管理条例》（2019.12.18发布）中的相关规定。一般固体废物：执行《中华人民共和国固体废物污染环境防治法》（2020年修订版）及北京市的有关规定。</w:t>
            </w:r>
          </w:p>
          <w:p w14:paraId="125D9476">
            <w:pPr>
              <w:pStyle w:val="51"/>
              <w:spacing w:line="360" w:lineRule="auto"/>
              <w:ind w:firstLine="480" w:firstLineChars="200"/>
              <w:jc w:val="both"/>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kern w:val="2"/>
                <w:sz w:val="24"/>
                <w:szCs w:val="24"/>
                <w:lang w:val="en-US" w:eastAsia="zh-CN" w:bidi="ar-SA"/>
              </w:rPr>
              <w:t>综上所述，本项目产生的固体废物经过有效处理后应符合《实验室危险废物污染防治技术规范》（DB111368-2016）中的有关规定。</w:t>
            </w:r>
          </w:p>
          <w:p w14:paraId="6145F2E1">
            <w:pPr>
              <w:ind w:firstLine="480" w:firstLineChars="200"/>
              <w:rPr>
                <w:rFonts w:hint="default" w:ascii="Times New Roman" w:hAnsi="Times New Roman" w:eastAsia="宋体" w:cs="Times New Roman"/>
                <w:sz w:val="24"/>
                <w:szCs w:val="24"/>
              </w:rPr>
            </w:pPr>
          </w:p>
        </w:tc>
      </w:tr>
    </w:tbl>
    <w:p w14:paraId="2E392668">
      <w:pPr>
        <w:pStyle w:val="2"/>
        <w:adjustRightInd w:val="0"/>
        <w:snapToGrid w:val="0"/>
        <w:rPr>
          <w:rFonts w:hint="default" w:ascii="Times New Roman" w:hAnsi="Times New Roman" w:eastAsia="宋体" w:cs="Times New Roman"/>
          <w:b/>
          <w:bCs w:val="0"/>
          <w:sz w:val="28"/>
          <w:szCs w:val="28"/>
        </w:rPr>
      </w:pPr>
      <w:bookmarkStart w:id="1" w:name="_Toc515281371"/>
      <w:bookmarkStart w:id="2" w:name="_Toc515281381"/>
      <w:r>
        <w:rPr>
          <w:rFonts w:hint="default" w:ascii="Times New Roman" w:hAnsi="Times New Roman" w:eastAsia="宋体" w:cs="Times New Roman"/>
          <w:b/>
          <w:bCs w:val="0"/>
          <w:sz w:val="28"/>
          <w:szCs w:val="28"/>
        </w:rPr>
        <w:t>表二</w:t>
      </w:r>
      <w:bookmarkEnd w:id="1"/>
    </w:p>
    <w:tbl>
      <w:tblPr>
        <w:tblStyle w:val="30"/>
        <w:tblW w:w="5096" w:type="pct"/>
        <w:tblInd w:w="3"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autofit"/>
        <w:tblCellMar>
          <w:top w:w="0" w:type="dxa"/>
          <w:left w:w="108" w:type="dxa"/>
          <w:bottom w:w="0" w:type="dxa"/>
          <w:right w:w="108" w:type="dxa"/>
        </w:tblCellMar>
      </w:tblPr>
      <w:tblGrid>
        <w:gridCol w:w="9467"/>
      </w:tblGrid>
      <w:tr w14:paraId="51E06E40">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12766" w:hRule="atLeast"/>
        </w:trPr>
        <w:tc>
          <w:tcPr>
            <w:tcW w:w="5000" w:type="pct"/>
            <w:shd w:val="clear" w:color="auto" w:fill="auto"/>
          </w:tcPr>
          <w:p w14:paraId="7A469A87">
            <w:pPr>
              <w:adjustRightInd w:val="0"/>
              <w:snapToGrid w:val="0"/>
              <w:spacing w:before="120" w:beforeLines="50" w:line="360" w:lineRule="auto"/>
              <w:rPr>
                <w:rFonts w:hint="default" w:ascii="Times New Roman" w:hAnsi="Times New Roman" w:eastAsia="宋体" w:cs="Times New Roman"/>
                <w:b/>
                <w:sz w:val="28"/>
                <w:szCs w:val="28"/>
              </w:rPr>
            </w:pPr>
            <w:bookmarkStart w:id="3" w:name="_Toc515281373"/>
            <w:r>
              <w:rPr>
                <w:rFonts w:hint="default" w:ascii="Times New Roman" w:hAnsi="Times New Roman" w:eastAsia="宋体" w:cs="Times New Roman"/>
                <w:b/>
                <w:sz w:val="28"/>
                <w:szCs w:val="28"/>
              </w:rPr>
              <w:t>工程建设内容</w:t>
            </w:r>
            <w:bookmarkEnd w:id="3"/>
            <w:r>
              <w:rPr>
                <w:rFonts w:hint="default" w:ascii="Times New Roman" w:hAnsi="Times New Roman" w:eastAsia="宋体" w:cs="Times New Roman"/>
                <w:b/>
                <w:sz w:val="28"/>
                <w:szCs w:val="28"/>
              </w:rPr>
              <w:t>：</w:t>
            </w:r>
          </w:p>
          <w:p w14:paraId="33EF6314">
            <w:pPr>
              <w:spacing w:line="360" w:lineRule="auto"/>
              <w:ind w:firstLine="480" w:firstLineChars="200"/>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eastAsia="zh-CN"/>
              </w:rPr>
              <w:t>北京永泰生物制品有限公司</w:t>
            </w:r>
            <w:r>
              <w:rPr>
                <w:rFonts w:hint="default" w:ascii="Times New Roman" w:hAnsi="Times New Roman" w:eastAsia="宋体" w:cs="Times New Roman"/>
                <w:sz w:val="24"/>
                <w:szCs w:val="24"/>
              </w:rPr>
              <w:t>成立于</w:t>
            </w:r>
            <w:r>
              <w:rPr>
                <w:rFonts w:hint="eastAsia" w:ascii="Times New Roman" w:hAnsi="Times New Roman" w:eastAsia="宋体" w:cs="Times New Roman"/>
                <w:sz w:val="24"/>
                <w:szCs w:val="24"/>
                <w:lang w:val="en-US" w:eastAsia="zh-CN"/>
              </w:rPr>
              <w:t>2006</w:t>
            </w:r>
            <w:r>
              <w:rPr>
                <w:rFonts w:hint="default" w:ascii="Times New Roman" w:hAnsi="Times New Roman" w:eastAsia="宋体" w:cs="Times New Roman"/>
                <w:sz w:val="24"/>
                <w:szCs w:val="24"/>
              </w:rPr>
              <w:t>年1</w:t>
            </w:r>
            <w:r>
              <w:rPr>
                <w:rFonts w:hint="eastAsia" w:ascii="Times New Roman" w:hAnsi="Times New Roman" w:eastAsia="宋体" w:cs="Times New Roman"/>
                <w:sz w:val="24"/>
                <w:szCs w:val="24"/>
                <w:lang w:val="en-US" w:eastAsia="zh-CN"/>
              </w:rPr>
              <w:t>1</w:t>
            </w:r>
            <w:r>
              <w:rPr>
                <w:rFonts w:hint="default" w:ascii="Times New Roman" w:hAnsi="Times New Roman" w:eastAsia="宋体" w:cs="Times New Roman"/>
                <w:sz w:val="24"/>
                <w:szCs w:val="24"/>
              </w:rPr>
              <w:t>月2</w:t>
            </w:r>
            <w:r>
              <w:rPr>
                <w:rFonts w:hint="eastAsia" w:ascii="Times New Roman" w:hAnsi="Times New Roman" w:eastAsia="宋体" w:cs="Times New Roman"/>
                <w:sz w:val="24"/>
                <w:szCs w:val="24"/>
                <w:lang w:val="en-US" w:eastAsia="zh-CN"/>
              </w:rPr>
              <w:t>0</w:t>
            </w:r>
            <w:r>
              <w:rPr>
                <w:rFonts w:hint="default" w:ascii="Times New Roman" w:hAnsi="Times New Roman" w:eastAsia="宋体" w:cs="Times New Roman"/>
                <w:sz w:val="24"/>
                <w:szCs w:val="24"/>
              </w:rPr>
              <w:t>日，注册地址位于北京市北京经济技术开发区康定街1号4幢2层，法人代表为张键，主要经营范围为：生产扩增淋巴细胞培养基开发和研究淋巴细胞扩增技术，提供技术咨询、技术服务、技术转让；销售自产产品；批发医疗器械Ⅰ类；货物进出口，技术进出口，代理进出口。（市场主体依法自主选择经营项目，开展经营活动；依法须经批准的项目，经相关部门批准后依批准的内容开展经营活动；不得从事国家和本市产业政策禁止和限制类项目的经营活动）。</w:t>
            </w:r>
            <w:r>
              <w:rPr>
                <w:rFonts w:hint="eastAsia" w:ascii="Times New Roman" w:hAnsi="Times New Roman" w:eastAsia="宋体" w:cs="Times New Roman"/>
                <w:sz w:val="24"/>
                <w:szCs w:val="24"/>
                <w:lang w:val="en-US" w:eastAsia="zh-CN"/>
              </w:rPr>
              <w:t>本项目</w:t>
            </w:r>
            <w:r>
              <w:rPr>
                <w:rFonts w:hint="default" w:ascii="Times New Roman" w:hAnsi="Times New Roman" w:eastAsia="宋体" w:cs="Times New Roman"/>
                <w:sz w:val="24"/>
                <w:szCs w:val="24"/>
              </w:rPr>
              <w:t>租用位于北京经济技术开发区康定街1号2幢3层</w:t>
            </w:r>
            <w:r>
              <w:rPr>
                <w:rFonts w:hint="eastAsia" w:ascii="Times New Roman" w:hAnsi="Times New Roman" w:eastAsia="宋体" w:cs="Times New Roman"/>
                <w:sz w:val="24"/>
                <w:szCs w:val="24"/>
                <w:lang w:val="en-US" w:eastAsia="zh-CN"/>
              </w:rPr>
              <w:t>现</w:t>
            </w:r>
            <w:r>
              <w:rPr>
                <w:rFonts w:hint="default" w:ascii="Times New Roman" w:hAnsi="Times New Roman" w:eastAsia="宋体" w:cs="Times New Roman"/>
                <w:sz w:val="24"/>
                <w:szCs w:val="24"/>
              </w:rPr>
              <w:t>有厂房，依法开展免疫细胞制剂质检相关业务。</w:t>
            </w:r>
          </w:p>
          <w:p w14:paraId="5CE4FFC1">
            <w:pPr>
              <w:pStyle w:val="3"/>
              <w:numPr>
                <w:ilvl w:val="0"/>
                <w:numId w:val="0"/>
              </w:numPr>
              <w:ind w:leftChars="200"/>
              <w:rPr>
                <w:rFonts w:hint="eastAsia" w:ascii="Times New Roman" w:hAnsi="Times New Roman" w:cs="Times New Roman"/>
                <w:color w:val="000000" w:themeColor="text1"/>
                <w:szCs w:val="24"/>
                <w:lang w:val="en-US" w:eastAsia="zh-CN"/>
                <w14:textFill>
                  <w14:solidFill>
                    <w14:schemeClr w14:val="tx1"/>
                  </w14:solidFill>
                </w14:textFill>
              </w:rPr>
            </w:pPr>
            <w:r>
              <w:rPr>
                <w:rFonts w:hint="eastAsia" w:cs="Times New Roman"/>
                <w:color w:val="000000" w:themeColor="text1"/>
                <w:szCs w:val="24"/>
                <w:lang w:val="en-US" w:eastAsia="zh-CN"/>
                <w14:textFill>
                  <w14:solidFill>
                    <w14:schemeClr w14:val="tx1"/>
                  </w14:solidFill>
                </w14:textFill>
              </w:rPr>
              <w:t>一、</w:t>
            </w:r>
            <w:r>
              <w:rPr>
                <w:rFonts w:hint="eastAsia" w:ascii="Times New Roman" w:hAnsi="Times New Roman" w:cs="Times New Roman"/>
                <w:color w:val="000000" w:themeColor="text1"/>
                <w:szCs w:val="24"/>
                <w:lang w:val="en-US" w:eastAsia="zh-CN"/>
                <w14:textFill>
                  <w14:solidFill>
                    <w14:schemeClr w14:val="tx1"/>
                  </w14:solidFill>
                </w14:textFill>
              </w:rPr>
              <w:t>本项目建设情况</w:t>
            </w:r>
          </w:p>
          <w:p w14:paraId="3CAFB724">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本项目所在楼层建筑面积为1148m2，拟投资 2000 万元，从事免疫细胞制剂质检活动，主要是为该企业正在研发和临床试验中的扩增活化的淋巴细胞、CAR-T-19 注射液等免疫细胞药物进行质量检验，只涉及实验室项目，不涉及生产。</w:t>
            </w:r>
          </w:p>
          <w:p w14:paraId="774AC365">
            <w:pPr>
              <w:spacing w:line="360" w:lineRule="auto"/>
              <w:ind w:firstLine="480" w:firstLineChars="200"/>
              <w:rPr>
                <w:rFonts w:hint="eastAsia" w:cs="Times New Roman"/>
                <w:color w:val="000000" w:themeColor="text1"/>
                <w:szCs w:val="24"/>
                <w:lang w:val="en-US" w:eastAsia="zh-CN"/>
                <w14:textFill>
                  <w14:solidFill>
                    <w14:schemeClr w14:val="tx1"/>
                  </w14:solidFill>
                </w14:textFill>
              </w:rPr>
            </w:pPr>
            <w:r>
              <w:rPr>
                <w:rFonts w:hint="eastAsia" w:ascii="Times New Roman" w:hAnsi="Times New Roman" w:eastAsia="宋体" w:cs="Times New Roman"/>
                <w:sz w:val="24"/>
                <w:szCs w:val="24"/>
                <w:lang w:val="en-US" w:eastAsia="zh-CN"/>
              </w:rPr>
              <w:t>该项目建成后每年能够实现对2万批次免疫细胞药物进行质检和品控的能力，预计可为企业带来每年 1 亿元的营业收入，年纳税 750 万元。</w:t>
            </w:r>
          </w:p>
          <w:p w14:paraId="49AE3E36">
            <w:pPr>
              <w:pStyle w:val="3"/>
              <w:ind w:firstLine="482" w:firstLineChars="200"/>
              <w:rPr>
                <w:rFonts w:hint="default" w:ascii="Times New Roman" w:hAnsi="Times New Roman" w:cs="Times New Roman"/>
                <w:color w:val="000000" w:themeColor="text1"/>
                <w:szCs w:val="24"/>
                <w14:textFill>
                  <w14:solidFill>
                    <w14:schemeClr w14:val="tx1"/>
                  </w14:solidFill>
                </w14:textFill>
              </w:rPr>
            </w:pPr>
            <w:r>
              <w:rPr>
                <w:rFonts w:hint="eastAsia" w:cs="Times New Roman"/>
                <w:color w:val="000000" w:themeColor="text1"/>
                <w:szCs w:val="24"/>
                <w:lang w:val="en-US" w:eastAsia="zh-CN"/>
                <w14:textFill>
                  <w14:solidFill>
                    <w14:schemeClr w14:val="tx1"/>
                  </w14:solidFill>
                </w14:textFill>
              </w:rPr>
              <w:t>1</w:t>
            </w:r>
            <w:r>
              <w:rPr>
                <w:rFonts w:hint="default" w:ascii="Times New Roman" w:hAnsi="Times New Roman" w:cs="Times New Roman"/>
                <w:color w:val="000000" w:themeColor="text1"/>
                <w:szCs w:val="24"/>
                <w14:textFill>
                  <w14:solidFill>
                    <w14:schemeClr w14:val="tx1"/>
                  </w14:solidFill>
                </w14:textFill>
              </w:rPr>
              <w:t>、地理位置</w:t>
            </w:r>
          </w:p>
          <w:p w14:paraId="584C690E">
            <w:pPr>
              <w:spacing w:before="80" w:after="80" w:line="360" w:lineRule="auto"/>
              <w:ind w:firstLine="480" w:firstLineChars="200"/>
              <w:jc w:val="both"/>
              <w:rPr>
                <w:rFonts w:hint="default" w:ascii="Times New Roman" w:hAnsi="Times New Roman" w:eastAsia="宋体" w:cs="Times New Roman"/>
                <w:sz w:val="24"/>
                <w:szCs w:val="24"/>
              </w:rPr>
            </w:pPr>
            <w:r>
              <w:rPr>
                <w:sz w:val="24"/>
              </w:rPr>
              <mc:AlternateContent>
                <mc:Choice Requires="wps">
                  <w:drawing>
                    <wp:anchor distT="0" distB="0" distL="114300" distR="114300" simplePos="0" relativeHeight="251659264" behindDoc="0" locked="0" layoutInCell="1" allowOverlap="1">
                      <wp:simplePos x="0" y="0"/>
                      <wp:positionH relativeFrom="column">
                        <wp:posOffset>-50165</wp:posOffset>
                      </wp:positionH>
                      <wp:positionV relativeFrom="paragraph">
                        <wp:posOffset>579755</wp:posOffset>
                      </wp:positionV>
                      <wp:extent cx="5971540" cy="2847975"/>
                      <wp:effectExtent l="0" t="0" r="10160" b="9525"/>
                      <wp:wrapNone/>
                      <wp:docPr id="32" name="文本框 32"/>
                      <wp:cNvGraphicFramePr/>
                      <a:graphic xmlns:a="http://schemas.openxmlformats.org/drawingml/2006/main">
                        <a:graphicData uri="http://schemas.microsoft.com/office/word/2010/wordprocessingShape">
                          <wps:wsp>
                            <wps:cNvSpPr txBox="1"/>
                            <wps:spPr>
                              <a:xfrm>
                                <a:off x="889635" y="6640830"/>
                                <a:ext cx="5971540" cy="284797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2860BB18">
                                  <w:pPr>
                                    <w:jc w:val="center"/>
                                  </w:pPr>
                                  <w:r>
                                    <w:drawing>
                                      <wp:inline distT="0" distB="0" distL="114300" distR="114300">
                                        <wp:extent cx="4211320" cy="2797810"/>
                                        <wp:effectExtent l="0" t="0" r="17780" b="2540"/>
                                        <wp:docPr id="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
                                                <pic:cNvPicPr>
                                                  <a:picLocks noChangeAspect="1"/>
                                                </pic:cNvPicPr>
                                              </pic:nvPicPr>
                                              <pic:blipFill>
                                                <a:blip r:embed="rId8"/>
                                                <a:stretch>
                                                  <a:fillRect/>
                                                </a:stretch>
                                              </pic:blipFill>
                                              <pic:spPr>
                                                <a:xfrm>
                                                  <a:off x="0" y="0"/>
                                                  <a:ext cx="4211320" cy="279781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95pt;margin-top:45.65pt;height:224.25pt;width:470.2pt;z-index:251659264;mso-width-relative:page;mso-height-relative:page;" fillcolor="#FFFFFF [3201]" filled="t" stroked="f" coordsize="21600,21600" o:gfxdata="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K7EOa3W&#10;AAAACQEAAA8AAAAAAAAAAQAgAAAAIgAAAGRycy9kb3ducmV2LnhtbFBLAQIUABQAAAAIAIdO4kDM&#10;9n2CWwIAAJ0EAAAOAAAAAAAAAAEAIAAAACUBAABkcnMvZTJvRG9jLnhtbFBLBQYAAAAABgAGAFkB&#10;AADyBQAAAAA=&#10;">
                      <v:fill on="t" focussize="0,0"/>
                      <v:stroke on="f" weight="0.5pt"/>
                      <v:imagedata o:title=""/>
                      <o:lock v:ext="edit" aspectratio="f"/>
                      <v:textbox>
                        <w:txbxContent>
                          <w:p w14:paraId="2860BB18">
                            <w:pPr>
                              <w:jc w:val="center"/>
                            </w:pPr>
                            <w:r>
                              <w:drawing>
                                <wp:inline distT="0" distB="0" distL="114300" distR="114300">
                                  <wp:extent cx="4211320" cy="2797810"/>
                                  <wp:effectExtent l="0" t="0" r="17780" b="2540"/>
                                  <wp:docPr id="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
                                          <pic:cNvPicPr>
                                            <a:picLocks noChangeAspect="1"/>
                                          </pic:cNvPicPr>
                                        </pic:nvPicPr>
                                        <pic:blipFill>
                                          <a:blip r:embed="rId8"/>
                                          <a:stretch>
                                            <a:fillRect/>
                                          </a:stretch>
                                        </pic:blipFill>
                                        <pic:spPr>
                                          <a:xfrm>
                                            <a:off x="0" y="0"/>
                                            <a:ext cx="4211320" cy="2797810"/>
                                          </a:xfrm>
                                          <a:prstGeom prst="rect">
                                            <a:avLst/>
                                          </a:prstGeom>
                                          <a:noFill/>
                                          <a:ln>
                                            <a:noFill/>
                                          </a:ln>
                                        </pic:spPr>
                                      </pic:pic>
                                    </a:graphicData>
                                  </a:graphic>
                                </wp:inline>
                              </w:drawing>
                            </w:r>
                          </w:p>
                        </w:txbxContent>
                      </v:textbox>
                    </v:shape>
                  </w:pict>
                </mc:Fallback>
              </mc:AlternateContent>
            </w:r>
            <w:r>
              <w:rPr>
                <w:rFonts w:hint="default" w:ascii="Times New Roman" w:hAnsi="Times New Roman" w:eastAsia="宋体" w:cs="Times New Roman"/>
                <w:sz w:val="24"/>
                <w:szCs w:val="24"/>
              </w:rPr>
              <w:t>本项目位于北京经济技术开发区康定街1号2幢3层</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rPr>
              <w:t>地理位置中心坐标为东经</w:t>
            </w:r>
            <w:r>
              <w:rPr>
                <w:rFonts w:hint="eastAsia" w:ascii="Times New Roman" w:hAnsi="Times New Roman" w:eastAsia="宋体" w:cs="Times New Roman"/>
                <w:sz w:val="24"/>
                <w:szCs w:val="24"/>
              </w:rPr>
              <w:t xml:space="preserve"> 116.527013°</w:t>
            </w:r>
            <w:r>
              <w:rPr>
                <w:rFonts w:hint="default" w:ascii="Times New Roman" w:hAnsi="Times New Roman" w:eastAsia="宋体" w:cs="Times New Roman"/>
                <w:sz w:val="24"/>
                <w:szCs w:val="24"/>
              </w:rPr>
              <w:t>，北纬</w:t>
            </w:r>
            <w:r>
              <w:rPr>
                <w:rFonts w:hint="eastAsia" w:ascii="Times New Roman" w:hAnsi="Times New Roman" w:eastAsia="宋体" w:cs="Times New Roman"/>
                <w:sz w:val="24"/>
                <w:szCs w:val="24"/>
              </w:rPr>
              <w:t xml:space="preserve"> 39.769097°</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rPr>
              <w:t>本项目地理位置详见图2-1。</w:t>
            </w:r>
          </w:p>
          <w:p w14:paraId="42982F36">
            <w:pPr>
              <w:spacing w:before="80" w:after="80" w:line="360" w:lineRule="auto"/>
              <w:ind w:firstLine="480" w:firstLineChars="200"/>
              <w:jc w:val="both"/>
              <w:rPr>
                <w:rFonts w:hint="default" w:ascii="Times New Roman" w:hAnsi="Times New Roman" w:eastAsia="宋体" w:cs="Times New Roman"/>
                <w:sz w:val="24"/>
                <w:szCs w:val="24"/>
              </w:rPr>
            </w:pPr>
          </w:p>
          <w:p w14:paraId="5869DB7B">
            <w:pPr>
              <w:spacing w:before="80" w:after="80" w:line="360" w:lineRule="auto"/>
              <w:ind w:firstLine="480" w:firstLineChars="200"/>
              <w:jc w:val="both"/>
              <w:rPr>
                <w:rFonts w:hint="default" w:ascii="Times New Roman" w:hAnsi="Times New Roman" w:eastAsia="宋体" w:cs="Times New Roman"/>
                <w:sz w:val="24"/>
                <w:szCs w:val="24"/>
              </w:rPr>
            </w:pPr>
          </w:p>
          <w:p w14:paraId="7EDE2791">
            <w:pPr>
              <w:spacing w:before="80" w:after="80" w:line="360" w:lineRule="auto"/>
              <w:ind w:firstLine="480" w:firstLineChars="200"/>
              <w:jc w:val="both"/>
              <w:rPr>
                <w:rFonts w:hint="default" w:ascii="Times New Roman" w:hAnsi="Times New Roman" w:eastAsia="宋体" w:cs="Times New Roman"/>
                <w:sz w:val="24"/>
                <w:szCs w:val="24"/>
              </w:rPr>
            </w:pPr>
          </w:p>
          <w:p w14:paraId="36212C4D">
            <w:pPr>
              <w:spacing w:before="80" w:after="80" w:line="360" w:lineRule="auto"/>
              <w:ind w:firstLine="480" w:firstLineChars="200"/>
              <w:jc w:val="both"/>
              <w:rPr>
                <w:rFonts w:hint="default" w:ascii="Times New Roman" w:hAnsi="Times New Roman" w:eastAsia="宋体" w:cs="Times New Roman"/>
                <w:sz w:val="24"/>
                <w:szCs w:val="24"/>
              </w:rPr>
            </w:pPr>
          </w:p>
          <w:p w14:paraId="27093E4A">
            <w:pPr>
              <w:spacing w:before="80" w:after="80" w:line="360" w:lineRule="auto"/>
              <w:ind w:firstLine="480" w:firstLineChars="200"/>
              <w:jc w:val="both"/>
              <w:rPr>
                <w:rFonts w:hint="default" w:ascii="Times New Roman" w:hAnsi="Times New Roman" w:eastAsia="宋体" w:cs="Times New Roman"/>
                <w:sz w:val="24"/>
                <w:szCs w:val="24"/>
              </w:rPr>
            </w:pPr>
          </w:p>
          <w:p w14:paraId="200657FB">
            <w:pPr>
              <w:spacing w:before="80" w:after="80" w:line="360" w:lineRule="auto"/>
              <w:ind w:firstLine="480" w:firstLineChars="200"/>
              <w:jc w:val="both"/>
              <w:rPr>
                <w:rFonts w:hint="default" w:ascii="Times New Roman" w:hAnsi="Times New Roman" w:eastAsia="宋体" w:cs="Times New Roman"/>
                <w:sz w:val="24"/>
                <w:szCs w:val="24"/>
              </w:rPr>
            </w:pPr>
          </w:p>
          <w:p w14:paraId="14BCCB67">
            <w:pPr>
              <w:spacing w:before="80" w:after="80" w:line="360" w:lineRule="auto"/>
              <w:ind w:firstLine="480" w:firstLineChars="200"/>
              <w:jc w:val="both"/>
              <w:rPr>
                <w:rFonts w:hint="default" w:ascii="Times New Roman" w:hAnsi="Times New Roman" w:eastAsia="宋体" w:cs="Times New Roman"/>
                <w:sz w:val="24"/>
                <w:szCs w:val="24"/>
              </w:rPr>
            </w:pPr>
          </w:p>
          <w:p w14:paraId="16ACC116">
            <w:pPr>
              <w:spacing w:before="80" w:after="80" w:line="360" w:lineRule="auto"/>
              <w:ind w:firstLine="480" w:firstLineChars="200"/>
              <w:jc w:val="both"/>
              <w:rPr>
                <w:rFonts w:hint="default" w:ascii="Times New Roman" w:hAnsi="Times New Roman" w:eastAsia="宋体" w:cs="Times New Roman"/>
                <w:sz w:val="24"/>
                <w:szCs w:val="24"/>
              </w:rPr>
            </w:pPr>
          </w:p>
          <w:p w14:paraId="34D99226">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sz w:val="24"/>
                <w:szCs w:val="24"/>
              </w:rPr>
            </w:pPr>
          </w:p>
          <w:p w14:paraId="7BA7734E">
            <w:pPr>
              <w:adjustRightInd w:val="0"/>
              <w:snapToGrid w:val="0"/>
              <w:spacing w:before="120" w:beforeLines="50" w:line="360" w:lineRule="auto"/>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图2-1本项目地理位置图</w:t>
            </w:r>
          </w:p>
          <w:p w14:paraId="01914DAD">
            <w:pPr>
              <w:pStyle w:val="3"/>
              <w:ind w:firstLine="482" w:firstLineChars="200"/>
              <w:rPr>
                <w:rFonts w:hint="default" w:ascii="Times New Roman" w:hAnsi="Times New Roman" w:eastAsia="宋体" w:cs="Times New Roman"/>
                <w:sz w:val="24"/>
                <w:szCs w:val="24"/>
                <w:lang w:val="en-US" w:eastAsia="zh-CN"/>
              </w:rPr>
            </w:pPr>
            <w:r>
              <w:rPr>
                <w:rFonts w:hint="eastAsia" w:cs="Times New Roman"/>
                <w:color w:val="000000" w:themeColor="text1"/>
                <w:szCs w:val="24"/>
                <w:lang w:val="en-US" w:eastAsia="zh-CN"/>
                <w14:textFill>
                  <w14:solidFill>
                    <w14:schemeClr w14:val="tx1"/>
                  </w14:solidFill>
                </w14:textFill>
              </w:rPr>
              <w:t>2</w:t>
            </w:r>
            <w:r>
              <w:rPr>
                <w:rFonts w:hint="default" w:ascii="Times New Roman" w:hAnsi="Times New Roman" w:cs="Times New Roman"/>
                <w:color w:val="000000" w:themeColor="text1"/>
                <w:szCs w:val="24"/>
                <w14:textFill>
                  <w14:solidFill>
                    <w14:schemeClr w14:val="tx1"/>
                  </w14:solidFill>
                </w14:textFill>
              </w:rPr>
              <w:t>、周边关系</w:t>
            </w:r>
          </w:p>
          <w:p w14:paraId="23994852">
            <w:pPr>
              <w:adjustRightInd w:val="0"/>
              <w:snapToGrid w:val="0"/>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w:t>
            </w:r>
            <w:r>
              <w:rPr>
                <w:rFonts w:hint="default" w:ascii="Times New Roman" w:hAnsi="Times New Roman" w:eastAsia="宋体" w:cs="Times New Roman"/>
                <w:sz w:val="24"/>
                <w:szCs w:val="24"/>
              </w:rPr>
              <w:t>项目</w:t>
            </w:r>
            <w:bookmarkStart w:id="4" w:name="_Hlk9203810"/>
            <w:r>
              <w:rPr>
                <w:rFonts w:hint="eastAsia" w:ascii="Times New Roman" w:hAnsi="Times New Roman" w:eastAsia="宋体" w:cs="Times New Roman"/>
                <w:sz w:val="24"/>
                <w:szCs w:val="24"/>
              </w:rPr>
              <w:t>位于所在建筑的三层，楼下二层目前为空置厂房，后期预作为实验室办公层，楼下一层为鑫诺基因有限公司，项目西北侧 15 米为北京同仁堂股份有限公司，东南侧紧邻3幢楼（东方正大种子有限公司厂房），再往东北侧100米为4幢、5幢楼（北京永泰生物制品有限公司生产和办公楼），西南侧15米为1幢（6号楼）。南侧及东南侧均为园区1幢楼。项目周边关系见附图 2。</w:t>
            </w:r>
            <w:bookmarkEnd w:id="4"/>
          </w:p>
          <w:p w14:paraId="6ED2EA02">
            <w:pPr>
              <w:adjustRightInd w:val="0"/>
              <w:snapToGrid w:val="0"/>
              <w:spacing w:line="240" w:lineRule="auto"/>
              <w:ind w:firstLine="480" w:firstLineChars="200"/>
              <w:rPr>
                <w:rFonts w:hint="default" w:ascii="Times New Roman" w:hAnsi="Times New Roman" w:eastAsia="宋体" w:cs="Times New Roman"/>
                <w:sz w:val="24"/>
                <w:szCs w:val="24"/>
              </w:rPr>
            </w:pPr>
            <w:r>
              <w:rPr>
                <w:sz w:val="24"/>
              </w:rPr>
              <mc:AlternateContent>
                <mc:Choice Requires="wps">
                  <w:drawing>
                    <wp:anchor distT="0" distB="0" distL="114300" distR="114300" simplePos="0" relativeHeight="251660288" behindDoc="0" locked="0" layoutInCell="1" allowOverlap="1">
                      <wp:simplePos x="0" y="0"/>
                      <wp:positionH relativeFrom="column">
                        <wp:posOffset>101600</wp:posOffset>
                      </wp:positionH>
                      <wp:positionV relativeFrom="paragraph">
                        <wp:posOffset>183515</wp:posOffset>
                      </wp:positionV>
                      <wp:extent cx="5762625" cy="3009900"/>
                      <wp:effectExtent l="0" t="0" r="9525" b="0"/>
                      <wp:wrapNone/>
                      <wp:docPr id="58" name="文本框 58"/>
                      <wp:cNvGraphicFramePr/>
                      <a:graphic xmlns:a="http://schemas.openxmlformats.org/drawingml/2006/main">
                        <a:graphicData uri="http://schemas.microsoft.com/office/word/2010/wordprocessingShape">
                          <wps:wsp>
                            <wps:cNvSpPr txBox="1"/>
                            <wps:spPr>
                              <a:xfrm>
                                <a:off x="1003935" y="3664585"/>
                                <a:ext cx="5762625" cy="30099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1B190DDC">
                                  <w:pPr>
                                    <w:jc w:val="center"/>
                                  </w:pPr>
                                  <w:r>
                                    <w:drawing>
                                      <wp:inline distT="0" distB="0" distL="114300" distR="114300">
                                        <wp:extent cx="5149215" cy="2859405"/>
                                        <wp:effectExtent l="0" t="0" r="13335" b="17145"/>
                                        <wp:docPr id="5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
                                                <pic:cNvPicPr>
                                                  <a:picLocks noChangeAspect="1"/>
                                                </pic:cNvPicPr>
                                              </pic:nvPicPr>
                                              <pic:blipFill>
                                                <a:blip r:embed="rId9"/>
                                                <a:stretch>
                                                  <a:fillRect/>
                                                </a:stretch>
                                              </pic:blipFill>
                                              <pic:spPr>
                                                <a:xfrm>
                                                  <a:off x="0" y="0"/>
                                                  <a:ext cx="5149215" cy="285940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pt;margin-top:14.45pt;height:237pt;width:453.75pt;z-index:251660288;mso-width-relative:page;mso-height-relative:page;" fillcolor="#FFFFFF [3201]" filled="t" stroked="f" coordsize="21600,21600" o:gfxdata="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FaZ&#10;bfjUAAAACQEAAA8AAAAAAAAAAQAgAAAAIgAAAGRycy9kb3ducmV2LnhtbFBLAQIUABQAAAAIAIdO&#10;4kBGnax3YAIAAJ4EAAAOAAAAAAAAAAEAIAAAACMBAABkcnMvZTJvRG9jLnhtbFBLBQYAAAAABgAG&#10;AFkBAAD1BQAAAAA=&#10;">
                      <v:fill on="t" focussize="0,0"/>
                      <v:stroke on="f" weight="0.5pt"/>
                      <v:imagedata o:title=""/>
                      <o:lock v:ext="edit" aspectratio="f"/>
                      <v:textbox>
                        <w:txbxContent>
                          <w:p w14:paraId="1B190DDC">
                            <w:pPr>
                              <w:jc w:val="center"/>
                            </w:pPr>
                            <w:r>
                              <w:drawing>
                                <wp:inline distT="0" distB="0" distL="114300" distR="114300">
                                  <wp:extent cx="5149215" cy="2859405"/>
                                  <wp:effectExtent l="0" t="0" r="13335" b="17145"/>
                                  <wp:docPr id="5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
                                          <pic:cNvPicPr>
                                            <a:picLocks noChangeAspect="1"/>
                                          </pic:cNvPicPr>
                                        </pic:nvPicPr>
                                        <pic:blipFill>
                                          <a:blip r:embed="rId9"/>
                                          <a:stretch>
                                            <a:fillRect/>
                                          </a:stretch>
                                        </pic:blipFill>
                                        <pic:spPr>
                                          <a:xfrm>
                                            <a:off x="0" y="0"/>
                                            <a:ext cx="5149215" cy="2859405"/>
                                          </a:xfrm>
                                          <a:prstGeom prst="rect">
                                            <a:avLst/>
                                          </a:prstGeom>
                                          <a:noFill/>
                                          <a:ln>
                                            <a:noFill/>
                                          </a:ln>
                                        </pic:spPr>
                                      </pic:pic>
                                    </a:graphicData>
                                  </a:graphic>
                                </wp:inline>
                              </w:drawing>
                            </w:r>
                          </w:p>
                        </w:txbxContent>
                      </v:textbox>
                    </v:shape>
                  </w:pict>
                </mc:Fallback>
              </mc:AlternateContent>
            </w:r>
            <w:r>
              <w:rPr>
                <w:rFonts w:hint="default" w:ascii="Times New Roman" w:hAnsi="Times New Roman" w:eastAsia="宋体" w:cs="Times New Roman"/>
                <w:sz w:val="24"/>
                <w:szCs w:val="24"/>
              </w:rPr>
              <w:t>本项目周边关系概况图见图2-2。</w:t>
            </w:r>
          </w:p>
          <w:p w14:paraId="08B14BCB">
            <w:pPr>
              <w:adjustRightInd w:val="0"/>
              <w:snapToGrid w:val="0"/>
              <w:spacing w:before="120" w:beforeLines="50" w:line="240" w:lineRule="auto"/>
              <w:jc w:val="center"/>
              <w:rPr>
                <w:rFonts w:hint="default" w:ascii="Times New Roman" w:hAnsi="Times New Roman" w:cs="Times New Roman"/>
              </w:rPr>
            </w:pPr>
          </w:p>
          <w:p w14:paraId="1D9771F1">
            <w:pPr>
              <w:adjustRightInd w:val="0"/>
              <w:snapToGrid w:val="0"/>
              <w:spacing w:before="120" w:beforeLines="50" w:line="240" w:lineRule="auto"/>
              <w:jc w:val="center"/>
              <w:rPr>
                <w:rFonts w:hint="default" w:ascii="Times New Roman" w:hAnsi="Times New Roman" w:cs="Times New Roman"/>
              </w:rPr>
            </w:pPr>
          </w:p>
          <w:p w14:paraId="5AB1A65F">
            <w:pPr>
              <w:adjustRightInd w:val="0"/>
              <w:snapToGrid w:val="0"/>
              <w:spacing w:before="120" w:beforeLines="50" w:line="240" w:lineRule="auto"/>
              <w:jc w:val="center"/>
              <w:rPr>
                <w:rFonts w:hint="default" w:ascii="Times New Roman" w:hAnsi="Times New Roman" w:cs="Times New Roman"/>
              </w:rPr>
            </w:pPr>
          </w:p>
          <w:p w14:paraId="2620A401">
            <w:pPr>
              <w:adjustRightInd w:val="0"/>
              <w:snapToGrid w:val="0"/>
              <w:spacing w:before="120" w:beforeLines="50" w:line="240" w:lineRule="auto"/>
              <w:jc w:val="center"/>
              <w:rPr>
                <w:rFonts w:hint="default" w:ascii="Times New Roman" w:hAnsi="Times New Roman" w:cs="Times New Roman"/>
              </w:rPr>
            </w:pPr>
          </w:p>
          <w:p w14:paraId="13D2C680">
            <w:pPr>
              <w:adjustRightInd w:val="0"/>
              <w:snapToGrid w:val="0"/>
              <w:spacing w:before="120" w:beforeLines="50" w:line="240" w:lineRule="auto"/>
              <w:jc w:val="center"/>
              <w:rPr>
                <w:rFonts w:hint="default" w:ascii="Times New Roman" w:hAnsi="Times New Roman" w:cs="Times New Roman"/>
              </w:rPr>
            </w:pPr>
          </w:p>
          <w:p w14:paraId="56728468">
            <w:pPr>
              <w:adjustRightInd w:val="0"/>
              <w:snapToGrid w:val="0"/>
              <w:spacing w:before="120" w:beforeLines="50" w:line="240" w:lineRule="auto"/>
              <w:jc w:val="center"/>
              <w:rPr>
                <w:rFonts w:hint="default" w:ascii="Times New Roman" w:hAnsi="Times New Roman" w:cs="Times New Roman"/>
              </w:rPr>
            </w:pPr>
          </w:p>
          <w:p w14:paraId="31D0DFC3">
            <w:pPr>
              <w:adjustRightInd w:val="0"/>
              <w:snapToGrid w:val="0"/>
              <w:spacing w:before="120" w:beforeLines="50" w:line="240" w:lineRule="auto"/>
              <w:jc w:val="center"/>
              <w:rPr>
                <w:rFonts w:hint="default" w:ascii="Times New Roman" w:hAnsi="Times New Roman" w:cs="Times New Roman"/>
              </w:rPr>
            </w:pPr>
          </w:p>
          <w:p w14:paraId="22D337A1">
            <w:pPr>
              <w:adjustRightInd w:val="0"/>
              <w:snapToGrid w:val="0"/>
              <w:spacing w:before="120" w:beforeLines="50" w:line="240" w:lineRule="auto"/>
              <w:jc w:val="center"/>
              <w:rPr>
                <w:rFonts w:hint="default" w:ascii="Times New Roman" w:hAnsi="Times New Roman" w:cs="Times New Roman"/>
              </w:rPr>
            </w:pPr>
          </w:p>
          <w:p w14:paraId="28C8B1A4">
            <w:pPr>
              <w:adjustRightInd w:val="0"/>
              <w:snapToGrid w:val="0"/>
              <w:spacing w:before="120" w:beforeLines="50" w:line="240" w:lineRule="auto"/>
              <w:jc w:val="center"/>
              <w:rPr>
                <w:rFonts w:hint="default" w:ascii="Times New Roman" w:hAnsi="Times New Roman" w:cs="Times New Roman"/>
              </w:rPr>
            </w:pPr>
          </w:p>
          <w:p w14:paraId="456DF8B3">
            <w:pPr>
              <w:adjustRightInd w:val="0"/>
              <w:snapToGrid w:val="0"/>
              <w:spacing w:before="120" w:beforeLines="50" w:line="240" w:lineRule="auto"/>
              <w:jc w:val="center"/>
              <w:rPr>
                <w:rFonts w:hint="default" w:ascii="Times New Roman" w:hAnsi="Times New Roman" w:cs="Times New Roman"/>
              </w:rPr>
            </w:pPr>
          </w:p>
          <w:p w14:paraId="0D956B98">
            <w:pPr>
              <w:adjustRightInd w:val="0"/>
              <w:snapToGrid w:val="0"/>
              <w:spacing w:before="120" w:beforeLines="50" w:line="240" w:lineRule="auto"/>
              <w:jc w:val="center"/>
              <w:rPr>
                <w:rFonts w:hint="default" w:ascii="Times New Roman" w:hAnsi="Times New Roman" w:cs="Times New Roman"/>
              </w:rPr>
            </w:pPr>
          </w:p>
          <w:p w14:paraId="25FCD18F">
            <w:pPr>
              <w:adjustRightInd w:val="0"/>
              <w:snapToGrid w:val="0"/>
              <w:spacing w:before="120" w:beforeLines="50" w:line="240" w:lineRule="auto"/>
              <w:jc w:val="center"/>
              <w:rPr>
                <w:rFonts w:hint="default" w:ascii="Times New Roman" w:hAnsi="Times New Roman" w:cs="Times New Roman"/>
              </w:rPr>
            </w:pPr>
          </w:p>
          <w:p w14:paraId="52778A58">
            <w:pPr>
              <w:adjustRightInd w:val="0"/>
              <w:snapToGrid w:val="0"/>
              <w:spacing w:before="120" w:beforeLines="50" w:line="240" w:lineRule="auto"/>
              <w:jc w:val="center"/>
              <w:rPr>
                <w:rFonts w:hint="default" w:ascii="Times New Roman" w:hAnsi="Times New Roman" w:cs="Times New Roman"/>
              </w:rPr>
            </w:pPr>
          </w:p>
          <w:p w14:paraId="6D62B0F4">
            <w:pPr>
              <w:adjustRightInd w:val="0"/>
              <w:snapToGrid w:val="0"/>
              <w:spacing w:before="120" w:beforeLines="50" w:line="240" w:lineRule="auto"/>
              <w:ind w:firstLine="3132" w:firstLineChars="1300"/>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图2-2</w:t>
            </w:r>
            <w:r>
              <w:rPr>
                <w:rFonts w:hint="eastAsia" w:ascii="Times New Roman" w:hAnsi="Times New Roman" w:eastAsia="宋体" w:cs="Times New Roman"/>
                <w:b/>
                <w:sz w:val="24"/>
                <w:szCs w:val="24"/>
                <w:lang w:val="en-US" w:eastAsia="zh-CN"/>
              </w:rPr>
              <w:t xml:space="preserve"> </w:t>
            </w:r>
            <w:r>
              <w:rPr>
                <w:rFonts w:hint="default" w:ascii="Times New Roman" w:hAnsi="Times New Roman" w:eastAsia="宋体" w:cs="Times New Roman"/>
                <w:b/>
                <w:sz w:val="24"/>
                <w:szCs w:val="24"/>
              </w:rPr>
              <w:t>本项目周边关系概况图</w:t>
            </w:r>
          </w:p>
          <w:p w14:paraId="5F09A13D">
            <w:pPr>
              <w:adjustRightInd w:val="0"/>
              <w:snapToGrid w:val="0"/>
              <w:spacing w:before="120" w:beforeLines="50" w:line="360" w:lineRule="auto"/>
              <w:ind w:firstLine="482" w:firstLineChars="200"/>
              <w:rPr>
                <w:rFonts w:hint="default" w:ascii="Times New Roman" w:hAnsi="Times New Roman" w:eastAsia="宋体" w:cs="Times New Roman"/>
                <w:b/>
                <w:sz w:val="24"/>
                <w:szCs w:val="24"/>
              </w:rPr>
            </w:pPr>
            <w:r>
              <w:rPr>
                <w:rFonts w:hint="eastAsia" w:ascii="Times New Roman" w:hAnsi="Times New Roman" w:eastAsia="宋体" w:cs="Times New Roman"/>
                <w:b/>
                <w:sz w:val="24"/>
                <w:szCs w:val="24"/>
                <w:lang w:val="en-US" w:eastAsia="zh-CN"/>
              </w:rPr>
              <w:t>3</w:t>
            </w:r>
            <w:r>
              <w:rPr>
                <w:rFonts w:hint="default" w:ascii="Times New Roman" w:hAnsi="Times New Roman" w:eastAsia="宋体" w:cs="Times New Roman"/>
                <w:b/>
                <w:sz w:val="24"/>
                <w:szCs w:val="24"/>
              </w:rPr>
              <w:t>、项目平面布置</w:t>
            </w:r>
          </w:p>
          <w:p w14:paraId="3FF024F6">
            <w:pPr>
              <w:spacing w:line="360" w:lineRule="auto"/>
              <w:ind w:firstLine="480" w:firstLineChars="200"/>
              <w:jc w:val="left"/>
              <w:rPr>
                <w:rFonts w:hint="default" w:ascii="Times New Roman" w:hAnsi="Times New Roman" w:eastAsia="宋体" w:cs="Times New Roman"/>
                <w:sz w:val="24"/>
                <w:szCs w:val="24"/>
              </w:rPr>
            </w:pPr>
            <w:r>
              <w:rPr>
                <w:rFonts w:hint="eastAsia" w:ascii="Times New Roman" w:hAnsi="Times New Roman" w:eastAsia="宋体" w:cs="Times New Roman"/>
                <w:b w:val="0"/>
                <w:bCs w:val="0"/>
                <w:sz w:val="24"/>
                <w:szCs w:val="24"/>
                <w:lang w:val="en-US" w:eastAsia="zh-CN"/>
              </w:rPr>
              <w:t>本项目使用厂房建筑面积为</w:t>
            </w:r>
            <w:r>
              <w:rPr>
                <w:rFonts w:hint="eastAsia" w:ascii="Times New Roman" w:hAnsi="Times New Roman" w:eastAsia="宋体" w:cs="Times New Roman"/>
                <w:sz w:val="24"/>
                <w:szCs w:val="24"/>
                <w:lang w:val="en-US" w:eastAsia="zh-CN"/>
              </w:rPr>
              <w:t>1148m2</w:t>
            </w:r>
            <w:r>
              <w:rPr>
                <w:rFonts w:hint="eastAsia" w:ascii="Times New Roman" w:hAnsi="Times New Roman" w:eastAsia="宋体" w:cs="Times New Roman"/>
                <w:b w:val="0"/>
                <w:bCs w:val="0"/>
                <w:sz w:val="24"/>
                <w:szCs w:val="24"/>
                <w:lang w:val="en-US" w:eastAsia="zh-CN"/>
              </w:rPr>
              <w:t>，</w:t>
            </w:r>
            <w:r>
              <w:rPr>
                <w:rFonts w:hint="default" w:ascii="Times New Roman" w:hAnsi="Times New Roman" w:eastAsia="宋体" w:cs="Times New Roman"/>
                <w:b w:val="0"/>
                <w:bCs w:val="0"/>
                <w:sz w:val="24"/>
                <w:szCs w:val="24"/>
                <w:lang w:val="en-US" w:eastAsia="zh-CN"/>
              </w:rPr>
              <w:t>主要建设工程为免疫细胞制剂质检实验室</w:t>
            </w:r>
            <w:r>
              <w:rPr>
                <w:rFonts w:hint="default" w:ascii="Times New Roman" w:hAnsi="Times New Roman" w:eastAsia="宋体" w:cs="Times New Roman"/>
                <w:b w:val="0"/>
                <w:bCs w:val="0"/>
                <w:sz w:val="24"/>
                <w:szCs w:val="24"/>
                <w:lang w:eastAsia="zh-CN"/>
              </w:rPr>
              <w:t>。</w:t>
            </w:r>
            <w:r>
              <w:rPr>
                <w:rFonts w:hint="default" w:ascii="Times New Roman" w:hAnsi="Times New Roman" w:eastAsia="宋体" w:cs="Times New Roman"/>
                <w:sz w:val="24"/>
                <w:szCs w:val="24"/>
              </w:rPr>
              <w:t>具体平面布置见</w:t>
            </w:r>
            <w:r>
              <w:rPr>
                <w:rFonts w:hint="eastAsia" w:ascii="Times New Roman" w:hAnsi="Times New Roman" w:eastAsia="宋体" w:cs="Times New Roman"/>
                <w:sz w:val="24"/>
                <w:szCs w:val="24"/>
                <w:lang w:val="en-US" w:eastAsia="zh-CN"/>
              </w:rPr>
              <w:t>下图：</w:t>
            </w:r>
          </w:p>
          <w:p w14:paraId="260D623F">
            <w:pPr>
              <w:spacing w:line="360" w:lineRule="auto"/>
              <w:jc w:val="center"/>
              <w:rPr>
                <w:rFonts w:hint="default" w:ascii="Times New Roman" w:hAnsi="Times New Roman" w:eastAsia="宋体" w:cs="Times New Roman"/>
                <w:b/>
                <w:sz w:val="24"/>
                <w:szCs w:val="24"/>
              </w:rPr>
            </w:pPr>
          </w:p>
          <w:p w14:paraId="7B778843">
            <w:pPr>
              <w:spacing w:line="360" w:lineRule="auto"/>
              <w:jc w:val="center"/>
              <w:rPr>
                <w:rFonts w:hint="default" w:ascii="Times New Roman" w:hAnsi="Times New Roman" w:eastAsia="宋体" w:cs="Times New Roman"/>
                <w:b/>
                <w:sz w:val="24"/>
                <w:szCs w:val="24"/>
              </w:rPr>
            </w:pPr>
          </w:p>
          <w:p w14:paraId="4023F602">
            <w:pPr>
              <w:spacing w:line="360" w:lineRule="auto"/>
              <w:jc w:val="center"/>
              <w:rPr>
                <w:rFonts w:hint="default" w:ascii="Times New Roman" w:hAnsi="Times New Roman" w:eastAsia="宋体" w:cs="Times New Roman"/>
                <w:b/>
                <w:sz w:val="24"/>
                <w:szCs w:val="24"/>
              </w:rPr>
            </w:pPr>
          </w:p>
          <w:p w14:paraId="16C5D129">
            <w:pPr>
              <w:spacing w:line="360" w:lineRule="auto"/>
              <w:jc w:val="center"/>
              <w:rPr>
                <w:rFonts w:hint="default" w:ascii="Times New Roman" w:hAnsi="Times New Roman" w:eastAsia="宋体" w:cs="Times New Roman"/>
                <w:b/>
                <w:sz w:val="24"/>
                <w:szCs w:val="24"/>
              </w:rPr>
            </w:pPr>
          </w:p>
          <w:p w14:paraId="0C04CF82">
            <w:pPr>
              <w:spacing w:line="360" w:lineRule="auto"/>
              <w:jc w:val="center"/>
              <w:rPr>
                <w:rFonts w:hint="default" w:ascii="Times New Roman" w:hAnsi="Times New Roman" w:eastAsia="宋体" w:cs="Times New Roman"/>
                <w:b/>
                <w:sz w:val="24"/>
                <w:szCs w:val="24"/>
              </w:rPr>
            </w:pPr>
          </w:p>
          <w:p w14:paraId="68EC4430">
            <w:pPr>
              <w:spacing w:line="360" w:lineRule="auto"/>
              <w:jc w:val="center"/>
              <w:rPr>
                <w:rFonts w:hint="default" w:ascii="Times New Roman" w:hAnsi="Times New Roman" w:eastAsia="宋体" w:cs="Times New Roman"/>
                <w:b/>
                <w:sz w:val="24"/>
                <w:szCs w:val="24"/>
              </w:rPr>
            </w:pPr>
          </w:p>
          <w:p w14:paraId="1F0740FF">
            <w:pPr>
              <w:spacing w:line="360" w:lineRule="auto"/>
              <w:jc w:val="center"/>
              <w:rPr>
                <w:rFonts w:hint="default" w:ascii="Times New Roman" w:hAnsi="Times New Roman" w:eastAsia="宋体" w:cs="Times New Roman"/>
                <w:b/>
                <w:sz w:val="24"/>
                <w:szCs w:val="24"/>
              </w:rPr>
            </w:pPr>
          </w:p>
          <w:p w14:paraId="753F794E">
            <w:pPr>
              <w:spacing w:line="360" w:lineRule="auto"/>
              <w:jc w:val="center"/>
              <w:rPr>
                <w:rFonts w:hint="default" w:ascii="Times New Roman" w:hAnsi="Times New Roman" w:eastAsia="宋体" w:cs="Times New Roman"/>
                <w:b/>
                <w:sz w:val="24"/>
                <w:szCs w:val="24"/>
              </w:rPr>
            </w:pPr>
          </w:p>
          <w:p w14:paraId="03EEEFD8">
            <w:pPr>
              <w:spacing w:line="360" w:lineRule="auto"/>
              <w:jc w:val="center"/>
              <w:rPr>
                <w:rFonts w:hint="default" w:ascii="Times New Roman" w:hAnsi="Times New Roman" w:eastAsia="宋体" w:cs="Times New Roman"/>
                <w:b/>
                <w:sz w:val="24"/>
                <w:szCs w:val="24"/>
              </w:rPr>
            </w:pPr>
          </w:p>
          <w:p w14:paraId="60DD23F7">
            <w:pPr>
              <w:spacing w:line="360" w:lineRule="auto"/>
              <w:jc w:val="center"/>
              <w:rPr>
                <w:rFonts w:hint="default" w:ascii="Times New Roman" w:hAnsi="Times New Roman" w:eastAsia="宋体" w:cs="Times New Roman"/>
                <w:b/>
                <w:sz w:val="24"/>
                <w:szCs w:val="24"/>
              </w:rPr>
            </w:pPr>
          </w:p>
          <w:p w14:paraId="2C68A55B">
            <w:pPr>
              <w:spacing w:line="360" w:lineRule="auto"/>
              <w:jc w:val="center"/>
              <w:rPr>
                <w:rFonts w:hint="default" w:ascii="Times New Roman" w:hAnsi="Times New Roman" w:eastAsia="宋体" w:cs="Times New Roman"/>
                <w:b/>
                <w:sz w:val="24"/>
                <w:szCs w:val="24"/>
              </w:rPr>
            </w:pPr>
            <w:r>
              <w:rPr>
                <w:sz w:val="24"/>
              </w:rPr>
              <mc:AlternateContent>
                <mc:Choice Requires="wps">
                  <w:drawing>
                    <wp:anchor distT="0" distB="0" distL="114300" distR="114300" simplePos="0" relativeHeight="251661312" behindDoc="0" locked="0" layoutInCell="1" allowOverlap="1">
                      <wp:simplePos x="0" y="0"/>
                      <wp:positionH relativeFrom="column">
                        <wp:posOffset>-40640</wp:posOffset>
                      </wp:positionH>
                      <wp:positionV relativeFrom="paragraph">
                        <wp:posOffset>24130</wp:posOffset>
                      </wp:positionV>
                      <wp:extent cx="5981700" cy="3580765"/>
                      <wp:effectExtent l="4445" t="4445" r="14605" b="15240"/>
                      <wp:wrapNone/>
                      <wp:docPr id="79" name="文本框 79"/>
                      <wp:cNvGraphicFramePr/>
                      <a:graphic xmlns:a="http://schemas.openxmlformats.org/drawingml/2006/main">
                        <a:graphicData uri="http://schemas.microsoft.com/office/word/2010/wordprocessingShape">
                          <wps:wsp>
                            <wps:cNvSpPr txBox="1"/>
                            <wps:spPr>
                              <a:xfrm>
                                <a:off x="861695" y="899160"/>
                                <a:ext cx="5981700" cy="35807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AEB4505">
                                  <w:pPr>
                                    <w:jc w:val="center"/>
                                  </w:pPr>
                                  <w:r>
                                    <w:drawing>
                                      <wp:inline distT="0" distB="0" distL="114300" distR="114300">
                                        <wp:extent cx="5287010" cy="3497580"/>
                                        <wp:effectExtent l="0" t="0" r="8890" b="7620"/>
                                        <wp:docPr id="8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4"/>
                                                <pic:cNvPicPr>
                                                  <a:picLocks noChangeAspect="1"/>
                                                </pic:cNvPicPr>
                                              </pic:nvPicPr>
                                              <pic:blipFill>
                                                <a:blip r:embed="rId10"/>
                                                <a:stretch>
                                                  <a:fillRect/>
                                                </a:stretch>
                                              </pic:blipFill>
                                              <pic:spPr>
                                                <a:xfrm>
                                                  <a:off x="0" y="0"/>
                                                  <a:ext cx="5287010" cy="349758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2pt;margin-top:1.9pt;height:281.95pt;width:471pt;z-index:251661312;mso-width-relative:page;mso-height-relative:page;" fillcolor="#FFFFFF [3201]" filled="t" stroked="t" coordsize="21600,21600" o:gfxdata="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T9o9k1gAAAAgBAAAPAAAAAAAAAAEAIAAAACIAAABkcnMvZG93bnJldi54bWxQSwECFAAUAAAA&#10;CACHTuJAjkq7c2ICAADEBAAADgAAAAAAAAABACAAAAAlAQAAZHJzL2Uyb0RvYy54bWxQSwUGAAAA&#10;AAYABgBZAQAA+QUAAAAA&#10;">
                      <v:fill on="t" focussize="0,0"/>
                      <v:stroke weight="0.5pt" color="#000000 [3204]" joinstyle="round"/>
                      <v:imagedata o:title=""/>
                      <o:lock v:ext="edit" aspectratio="f"/>
                      <v:textbox>
                        <w:txbxContent>
                          <w:p w14:paraId="5AEB4505">
                            <w:pPr>
                              <w:jc w:val="center"/>
                            </w:pPr>
                            <w:r>
                              <w:drawing>
                                <wp:inline distT="0" distB="0" distL="114300" distR="114300">
                                  <wp:extent cx="5287010" cy="3497580"/>
                                  <wp:effectExtent l="0" t="0" r="8890" b="7620"/>
                                  <wp:docPr id="8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4"/>
                                          <pic:cNvPicPr>
                                            <a:picLocks noChangeAspect="1"/>
                                          </pic:cNvPicPr>
                                        </pic:nvPicPr>
                                        <pic:blipFill>
                                          <a:blip r:embed="rId10"/>
                                          <a:stretch>
                                            <a:fillRect/>
                                          </a:stretch>
                                        </pic:blipFill>
                                        <pic:spPr>
                                          <a:xfrm>
                                            <a:off x="0" y="0"/>
                                            <a:ext cx="5287010" cy="3497580"/>
                                          </a:xfrm>
                                          <a:prstGeom prst="rect">
                                            <a:avLst/>
                                          </a:prstGeom>
                                          <a:noFill/>
                                          <a:ln>
                                            <a:noFill/>
                                          </a:ln>
                                        </pic:spPr>
                                      </pic:pic>
                                    </a:graphicData>
                                  </a:graphic>
                                </wp:inline>
                              </w:drawing>
                            </w:r>
                          </w:p>
                        </w:txbxContent>
                      </v:textbox>
                    </v:shape>
                  </w:pict>
                </mc:Fallback>
              </mc:AlternateContent>
            </w:r>
          </w:p>
          <w:p w14:paraId="3242A0A5">
            <w:pPr>
              <w:spacing w:line="360" w:lineRule="auto"/>
              <w:jc w:val="center"/>
              <w:rPr>
                <w:rFonts w:hint="default" w:ascii="Times New Roman" w:hAnsi="Times New Roman" w:eastAsia="宋体" w:cs="Times New Roman"/>
                <w:b/>
                <w:sz w:val="24"/>
                <w:szCs w:val="24"/>
              </w:rPr>
            </w:pPr>
          </w:p>
          <w:p w14:paraId="2A624964">
            <w:pPr>
              <w:spacing w:line="360" w:lineRule="auto"/>
              <w:jc w:val="center"/>
              <w:rPr>
                <w:rFonts w:hint="default" w:ascii="Times New Roman" w:hAnsi="Times New Roman" w:eastAsia="宋体" w:cs="Times New Roman"/>
                <w:b/>
                <w:sz w:val="24"/>
                <w:szCs w:val="24"/>
              </w:rPr>
            </w:pPr>
          </w:p>
          <w:p w14:paraId="2984067A">
            <w:pPr>
              <w:spacing w:line="360" w:lineRule="auto"/>
              <w:jc w:val="center"/>
              <w:rPr>
                <w:rFonts w:hint="default" w:ascii="Times New Roman" w:hAnsi="Times New Roman" w:eastAsia="宋体" w:cs="Times New Roman"/>
                <w:b/>
                <w:sz w:val="24"/>
                <w:szCs w:val="24"/>
              </w:rPr>
            </w:pPr>
          </w:p>
          <w:p w14:paraId="278A9CE8">
            <w:pPr>
              <w:spacing w:line="360" w:lineRule="auto"/>
              <w:jc w:val="center"/>
              <w:rPr>
                <w:rFonts w:hint="default" w:ascii="Times New Roman" w:hAnsi="Times New Roman" w:eastAsia="宋体" w:cs="Times New Roman"/>
                <w:b/>
                <w:sz w:val="24"/>
                <w:szCs w:val="24"/>
              </w:rPr>
            </w:pPr>
          </w:p>
          <w:p w14:paraId="06249BC7">
            <w:pPr>
              <w:spacing w:line="360" w:lineRule="auto"/>
              <w:jc w:val="center"/>
              <w:rPr>
                <w:rFonts w:hint="default" w:ascii="Times New Roman" w:hAnsi="Times New Roman" w:eastAsia="宋体" w:cs="Times New Roman"/>
                <w:b/>
                <w:sz w:val="24"/>
                <w:szCs w:val="24"/>
              </w:rPr>
            </w:pPr>
          </w:p>
          <w:p w14:paraId="7F63DD7A">
            <w:pPr>
              <w:spacing w:line="360" w:lineRule="auto"/>
              <w:jc w:val="center"/>
              <w:rPr>
                <w:rFonts w:hint="default" w:ascii="Times New Roman" w:hAnsi="Times New Roman" w:eastAsia="宋体" w:cs="Times New Roman"/>
                <w:b/>
                <w:sz w:val="24"/>
                <w:szCs w:val="24"/>
              </w:rPr>
            </w:pPr>
          </w:p>
          <w:p w14:paraId="3585E0DB">
            <w:pPr>
              <w:spacing w:line="360" w:lineRule="auto"/>
              <w:jc w:val="center"/>
              <w:rPr>
                <w:rFonts w:hint="default" w:ascii="Times New Roman" w:hAnsi="Times New Roman" w:eastAsia="宋体" w:cs="Times New Roman"/>
                <w:b/>
                <w:sz w:val="24"/>
                <w:szCs w:val="24"/>
              </w:rPr>
            </w:pPr>
          </w:p>
          <w:p w14:paraId="69ACACE8">
            <w:pPr>
              <w:spacing w:line="360" w:lineRule="auto"/>
              <w:jc w:val="center"/>
              <w:rPr>
                <w:rFonts w:hint="default" w:ascii="Times New Roman" w:hAnsi="Times New Roman" w:eastAsia="宋体" w:cs="Times New Roman"/>
                <w:b/>
                <w:sz w:val="24"/>
                <w:szCs w:val="24"/>
              </w:rPr>
            </w:pPr>
          </w:p>
          <w:p w14:paraId="475D0CE1">
            <w:pPr>
              <w:spacing w:line="360" w:lineRule="auto"/>
              <w:jc w:val="center"/>
              <w:rPr>
                <w:rFonts w:hint="default" w:ascii="Times New Roman" w:hAnsi="Times New Roman" w:eastAsia="宋体" w:cs="Times New Roman"/>
                <w:b/>
                <w:sz w:val="24"/>
                <w:szCs w:val="24"/>
              </w:rPr>
            </w:pPr>
          </w:p>
          <w:p w14:paraId="7E92C40A">
            <w:pPr>
              <w:spacing w:line="360" w:lineRule="auto"/>
              <w:jc w:val="center"/>
              <w:rPr>
                <w:rFonts w:hint="default" w:ascii="Times New Roman" w:hAnsi="Times New Roman" w:eastAsia="宋体" w:cs="Times New Roman"/>
                <w:b/>
                <w:sz w:val="24"/>
                <w:szCs w:val="24"/>
              </w:rPr>
            </w:pPr>
          </w:p>
          <w:p w14:paraId="1856943E">
            <w:pPr>
              <w:spacing w:line="360" w:lineRule="auto"/>
              <w:jc w:val="center"/>
              <w:rPr>
                <w:rFonts w:hint="default" w:ascii="Times New Roman" w:hAnsi="Times New Roman" w:eastAsia="宋体" w:cs="Times New Roman"/>
                <w:b/>
                <w:sz w:val="24"/>
                <w:szCs w:val="24"/>
              </w:rPr>
            </w:pPr>
          </w:p>
          <w:p w14:paraId="2ABB6602">
            <w:pPr>
              <w:spacing w:line="360" w:lineRule="auto"/>
              <w:jc w:val="center"/>
              <w:rPr>
                <w:rFonts w:hint="default" w:ascii="Times New Roman" w:hAnsi="Times New Roman" w:eastAsia="宋体" w:cs="Times New Roman"/>
                <w:b/>
                <w:sz w:val="24"/>
                <w:szCs w:val="24"/>
              </w:rPr>
            </w:pPr>
          </w:p>
          <w:p w14:paraId="2463D249">
            <w:pPr>
              <w:spacing w:line="360" w:lineRule="auto"/>
              <w:jc w:val="center"/>
              <w:rPr>
                <w:rFonts w:hint="default" w:ascii="Times New Roman" w:hAnsi="Times New Roman" w:eastAsia="宋体" w:cs="Times New Roman"/>
                <w:b/>
                <w:sz w:val="24"/>
                <w:szCs w:val="24"/>
              </w:rPr>
            </w:pPr>
          </w:p>
          <w:p w14:paraId="1BCEC28E">
            <w:pPr>
              <w:pStyle w:val="13"/>
              <w:spacing w:line="360" w:lineRule="auto"/>
              <w:ind w:left="0" w:leftChars="0" w:firstLine="0" w:firstLineChars="0"/>
              <w:jc w:val="center"/>
              <w:rPr>
                <w:rFonts w:hint="default" w:ascii="Times New Roman" w:hAnsi="Times New Roman" w:eastAsia="宋体" w:cs="Times New Roman"/>
                <w:b/>
                <w:sz w:val="24"/>
                <w:szCs w:val="24"/>
                <w:lang w:val="en-US" w:eastAsia="zh-CN"/>
              </w:rPr>
            </w:pPr>
            <w:r>
              <w:rPr>
                <w:rFonts w:hint="default" w:ascii="Times New Roman" w:hAnsi="Times New Roman" w:eastAsia="宋体" w:cs="Times New Roman"/>
                <w:b/>
                <w:sz w:val="24"/>
                <w:szCs w:val="24"/>
              </w:rPr>
              <w:t>图2-</w:t>
            </w:r>
            <w:r>
              <w:rPr>
                <w:rFonts w:hint="eastAsia" w:ascii="Times New Roman" w:hAnsi="Times New Roman" w:eastAsia="宋体" w:cs="Times New Roman"/>
                <w:b/>
                <w:sz w:val="24"/>
                <w:szCs w:val="24"/>
                <w:lang w:val="en-US" w:eastAsia="zh-CN"/>
              </w:rPr>
              <w:t>3 平面布置图</w:t>
            </w:r>
          </w:p>
          <w:p w14:paraId="6DD4EC21">
            <w:pPr>
              <w:adjustRightInd w:val="0"/>
              <w:snapToGrid w:val="0"/>
              <w:spacing w:before="120" w:beforeLines="50" w:line="360" w:lineRule="auto"/>
              <w:ind w:firstLine="482" w:firstLineChars="200"/>
              <w:rPr>
                <w:rFonts w:hint="default" w:ascii="Times New Roman" w:hAnsi="Times New Roman" w:eastAsia="宋体" w:cs="Times New Roman"/>
                <w:b/>
                <w:sz w:val="24"/>
                <w:szCs w:val="24"/>
                <w:lang w:val="en-US" w:eastAsia="zh-CN"/>
              </w:rPr>
            </w:pPr>
            <w:r>
              <w:rPr>
                <w:rFonts w:hint="eastAsia" w:ascii="Times New Roman" w:hAnsi="Times New Roman" w:eastAsia="宋体" w:cs="Times New Roman"/>
                <w:b/>
                <w:sz w:val="24"/>
                <w:szCs w:val="24"/>
                <w:lang w:val="en-US" w:eastAsia="zh-CN"/>
              </w:rPr>
              <w:t>4、</w:t>
            </w:r>
            <w:r>
              <w:rPr>
                <w:rFonts w:hint="default" w:ascii="Times New Roman" w:hAnsi="Times New Roman" w:eastAsia="宋体" w:cs="Times New Roman"/>
                <w:b/>
                <w:sz w:val="24"/>
                <w:szCs w:val="24"/>
                <w:lang w:val="en-US" w:eastAsia="zh-CN"/>
              </w:rPr>
              <w:t>建设内容</w:t>
            </w:r>
          </w:p>
          <w:p w14:paraId="3B3F99E5">
            <w:pPr>
              <w:pStyle w:val="42"/>
              <w:snapToGrid w:val="0"/>
              <w:spacing w:line="360" w:lineRule="auto"/>
              <w:ind w:firstLine="480" w:firstLineChars="200"/>
              <w:jc w:val="both"/>
              <w:rPr>
                <w:rFonts w:hint="default" w:ascii="Times New Roman" w:hAnsi="Times New Roman" w:eastAsia="宋体" w:cs="Times New Roman"/>
                <w:b w:val="0"/>
                <w:bCs w:val="0"/>
                <w:snapToGrid w:val="0"/>
                <w:color w:val="000000" w:themeColor="text1"/>
                <w:kern w:val="0"/>
                <w:sz w:val="24"/>
                <w:szCs w:val="24"/>
                <w:lang w:val="en-US" w:eastAsia="zh-CN" w:bidi="ar-SA"/>
                <w14:textFill>
                  <w14:solidFill>
                    <w14:schemeClr w14:val="tx1"/>
                  </w14:solidFill>
                </w14:textFill>
              </w:rPr>
            </w:pPr>
            <w:bookmarkStart w:id="5" w:name="_Hlk30414582"/>
            <w:bookmarkStart w:id="6" w:name="_Hlk80098869"/>
            <w:bookmarkStart w:id="7" w:name="_Hlk79503281"/>
            <w:r>
              <w:rPr>
                <w:rFonts w:hint="default" w:ascii="Times New Roman" w:hAnsi="Times New Roman" w:cs="Times New Roman"/>
                <w:b w:val="0"/>
                <w:bCs w:val="0"/>
                <w:color w:val="000000" w:themeColor="text1"/>
                <w14:textFill>
                  <w14:solidFill>
                    <w14:schemeClr w14:val="tx1"/>
                  </w14:solidFill>
                </w14:textFill>
              </w:rPr>
              <w:t>本</w:t>
            </w:r>
            <w:bookmarkEnd w:id="5"/>
            <w:r>
              <w:rPr>
                <w:rFonts w:hint="default" w:ascii="Times New Roman" w:hAnsi="Times New Roman" w:cs="Times New Roman"/>
                <w:b w:val="0"/>
                <w:bCs w:val="0"/>
                <w:color w:val="000000" w:themeColor="text1"/>
                <w14:textFill>
                  <w14:solidFill>
                    <w14:schemeClr w14:val="tx1"/>
                  </w14:solidFill>
                </w14:textFill>
              </w:rPr>
              <w:t>项目</w:t>
            </w:r>
            <w:bookmarkStart w:id="8" w:name="_Hlk80098592"/>
            <w:r>
              <w:rPr>
                <w:rFonts w:hint="default" w:ascii="Times New Roman" w:hAnsi="Times New Roman" w:cs="Times New Roman"/>
                <w:b w:val="0"/>
                <w:bCs w:val="0"/>
                <w:color w:val="000000" w:themeColor="text1"/>
                <w14:textFill>
                  <w14:solidFill>
                    <w14:schemeClr w14:val="tx1"/>
                  </w14:solidFill>
                </w14:textFill>
              </w:rPr>
              <w:t>总投资为</w:t>
            </w:r>
            <w:r>
              <w:rPr>
                <w:rFonts w:hint="eastAsia" w:ascii="Times New Roman" w:hAnsi="Times New Roman" w:cs="Times New Roman"/>
                <w:b w:val="0"/>
                <w:bCs w:val="0"/>
                <w:color w:val="000000"/>
                <w:lang w:val="en-US" w:eastAsia="zh-CN"/>
              </w:rPr>
              <w:t>2000</w:t>
            </w:r>
            <w:r>
              <w:rPr>
                <w:rFonts w:hint="default" w:ascii="Times New Roman" w:hAnsi="Times New Roman" w:cs="Times New Roman"/>
                <w:b w:val="0"/>
                <w:bCs w:val="0"/>
                <w:color w:val="000000" w:themeColor="text1"/>
                <w14:textFill>
                  <w14:solidFill>
                    <w14:schemeClr w14:val="tx1"/>
                  </w14:solidFill>
                </w14:textFill>
              </w:rPr>
              <w:t>万元，其中环保投资为</w:t>
            </w:r>
            <w:r>
              <w:rPr>
                <w:rFonts w:hint="eastAsia" w:ascii="Times New Roman" w:hAnsi="Times New Roman" w:cs="Times New Roman"/>
                <w:b w:val="0"/>
                <w:bCs w:val="0"/>
                <w:color w:val="000000"/>
                <w:szCs w:val="21"/>
                <w:lang w:val="en-US" w:eastAsia="zh-CN"/>
              </w:rPr>
              <w:t>10</w:t>
            </w:r>
            <w:r>
              <w:rPr>
                <w:rFonts w:hint="default" w:ascii="Times New Roman" w:hAnsi="Times New Roman" w:cs="Times New Roman"/>
                <w:b w:val="0"/>
                <w:bCs w:val="0"/>
                <w:color w:val="000000" w:themeColor="text1"/>
                <w14:textFill>
                  <w14:solidFill>
                    <w14:schemeClr w14:val="tx1"/>
                  </w14:solidFill>
                </w14:textFill>
              </w:rPr>
              <w:t>万元，占总投资比例</w:t>
            </w:r>
            <w:r>
              <w:rPr>
                <w:rFonts w:hint="eastAsia" w:ascii="Times New Roman" w:hAnsi="Times New Roman" w:cs="Times New Roman"/>
                <w:b w:val="0"/>
                <w:bCs w:val="0"/>
                <w:color w:val="000000" w:themeColor="text1"/>
                <w:lang w:val="en-US" w:eastAsia="zh-CN"/>
                <w14:textFill>
                  <w14:solidFill>
                    <w14:schemeClr w14:val="tx1"/>
                  </w14:solidFill>
                </w14:textFill>
              </w:rPr>
              <w:t>0.5</w:t>
            </w:r>
            <w:r>
              <w:rPr>
                <w:rFonts w:hint="default" w:ascii="Times New Roman" w:hAnsi="Times New Roman" w:cs="Times New Roman"/>
                <w:b w:val="0"/>
                <w:bCs w:val="0"/>
                <w:color w:val="000000" w:themeColor="text1"/>
                <w14:textFill>
                  <w14:solidFill>
                    <w14:schemeClr w14:val="tx1"/>
                  </w14:solidFill>
                </w14:textFill>
              </w:rPr>
              <w:t>%。</w:t>
            </w:r>
            <w:bookmarkEnd w:id="6"/>
            <w:r>
              <w:rPr>
                <w:rFonts w:hint="default" w:ascii="Times New Roman" w:hAnsi="Times New Roman" w:cs="Times New Roman"/>
                <w:b w:val="0"/>
                <w:bCs w:val="0"/>
                <w:color w:val="000000" w:themeColor="text1"/>
                <w14:textFill>
                  <w14:solidFill>
                    <w14:schemeClr w14:val="tx1"/>
                  </w14:solidFill>
                </w14:textFill>
              </w:rPr>
              <w:t>劳动定员</w:t>
            </w:r>
            <w:r>
              <w:rPr>
                <w:rFonts w:hint="eastAsia" w:ascii="Times New Roman" w:hAnsi="Times New Roman" w:cs="Times New Roman"/>
                <w:b w:val="0"/>
                <w:bCs w:val="0"/>
                <w:color w:val="auto"/>
                <w:lang w:val="en-US" w:eastAsia="zh-CN"/>
              </w:rPr>
              <w:t>50</w:t>
            </w:r>
            <w:r>
              <w:rPr>
                <w:rFonts w:hint="default" w:ascii="Times New Roman" w:hAnsi="Times New Roman" w:cs="Times New Roman"/>
                <w:b w:val="0"/>
                <w:bCs w:val="0"/>
                <w:color w:val="auto"/>
              </w:rPr>
              <w:t>人</w:t>
            </w:r>
            <w:r>
              <w:rPr>
                <w:rFonts w:hint="default" w:ascii="Times New Roman" w:hAnsi="Times New Roman" w:cs="Times New Roman"/>
                <w:b w:val="0"/>
                <w:bCs w:val="0"/>
              </w:rPr>
              <w:t>，年工作</w:t>
            </w:r>
            <w:r>
              <w:rPr>
                <w:rFonts w:hint="eastAsia" w:ascii="Times New Roman" w:hAnsi="Times New Roman" w:cs="Times New Roman"/>
                <w:b w:val="0"/>
                <w:bCs w:val="0"/>
                <w:lang w:val="en-US" w:eastAsia="zh-CN"/>
              </w:rPr>
              <w:t>260</w:t>
            </w:r>
            <w:r>
              <w:rPr>
                <w:rFonts w:hint="default" w:ascii="Times New Roman" w:hAnsi="Times New Roman" w:cs="Times New Roman"/>
                <w:b w:val="0"/>
                <w:bCs w:val="0"/>
                <w:color w:val="000000" w:themeColor="text1"/>
                <w14:textFill>
                  <w14:solidFill>
                    <w14:schemeClr w14:val="tx1"/>
                  </w14:solidFill>
                </w14:textFill>
              </w:rPr>
              <w:t>天</w:t>
            </w:r>
            <w:r>
              <w:rPr>
                <w:rFonts w:hint="eastAsia" w:ascii="Times New Roman" w:hAnsi="Times New Roman" w:cs="Times New Roman"/>
                <w:b w:val="0"/>
                <w:bCs w:val="0"/>
                <w:color w:val="000000" w:themeColor="text1"/>
                <w:lang w:eastAsia="zh-CN"/>
                <w14:textFill>
                  <w14:solidFill>
                    <w14:schemeClr w14:val="tx1"/>
                  </w14:solidFill>
                </w14:textFill>
              </w:rPr>
              <w:t>，</w:t>
            </w:r>
            <w:r>
              <w:rPr>
                <w:rFonts w:hint="default" w:ascii="Times New Roman" w:hAnsi="Times New Roman" w:cs="Times New Roman"/>
                <w:b w:val="0"/>
                <w:bCs w:val="0"/>
                <w:color w:val="000000" w:themeColor="text1"/>
                <w14:textFill>
                  <w14:solidFill>
                    <w14:schemeClr w14:val="tx1"/>
                  </w14:solidFill>
                </w14:textFill>
              </w:rPr>
              <w:t>每天工作时间为8:</w:t>
            </w:r>
            <w:r>
              <w:rPr>
                <w:rFonts w:hint="eastAsia" w:ascii="Times New Roman" w:hAnsi="Times New Roman" w:cs="Times New Roman"/>
                <w:b w:val="0"/>
                <w:bCs w:val="0"/>
                <w:color w:val="000000" w:themeColor="text1"/>
                <w:lang w:val="en-US" w:eastAsia="zh-CN"/>
                <w14:textFill>
                  <w14:solidFill>
                    <w14:schemeClr w14:val="tx1"/>
                  </w14:solidFill>
                </w14:textFill>
              </w:rPr>
              <w:t>0</w:t>
            </w:r>
            <w:r>
              <w:rPr>
                <w:rFonts w:hint="default" w:ascii="Times New Roman" w:hAnsi="Times New Roman" w:cs="Times New Roman"/>
                <w:b w:val="0"/>
                <w:bCs w:val="0"/>
                <w:color w:val="000000" w:themeColor="text1"/>
                <w14:textFill>
                  <w14:solidFill>
                    <w14:schemeClr w14:val="tx1"/>
                  </w14:solidFill>
                </w14:textFill>
              </w:rPr>
              <w:t>0-1</w:t>
            </w:r>
            <w:r>
              <w:rPr>
                <w:rFonts w:hint="eastAsia" w:ascii="Times New Roman" w:hAnsi="Times New Roman" w:cs="Times New Roman"/>
                <w:b w:val="0"/>
                <w:bCs w:val="0"/>
                <w:color w:val="000000" w:themeColor="text1"/>
                <w:lang w:val="en-US" w:eastAsia="zh-CN"/>
                <w14:textFill>
                  <w14:solidFill>
                    <w14:schemeClr w14:val="tx1"/>
                  </w14:solidFill>
                </w14:textFill>
              </w:rPr>
              <w:t>7</w:t>
            </w:r>
            <w:r>
              <w:rPr>
                <w:rFonts w:hint="default" w:ascii="Times New Roman" w:hAnsi="Times New Roman" w:cs="Times New Roman"/>
                <w:b w:val="0"/>
                <w:bCs w:val="0"/>
                <w:color w:val="000000" w:themeColor="text1"/>
                <w14:textFill>
                  <w14:solidFill>
                    <w14:schemeClr w14:val="tx1"/>
                  </w14:solidFill>
                </w14:textFill>
              </w:rPr>
              <w:t>:00</w:t>
            </w:r>
            <w:r>
              <w:rPr>
                <w:rFonts w:hint="eastAsia" w:ascii="Times New Roman" w:hAnsi="Times New Roman" w:cs="Times New Roman"/>
                <w:b w:val="0"/>
                <w:bCs w:val="0"/>
                <w:color w:val="000000" w:themeColor="text1"/>
                <w:lang w:eastAsia="zh-CN"/>
                <w14:textFill>
                  <w14:solidFill>
                    <w14:schemeClr w14:val="tx1"/>
                  </w14:solidFill>
                </w14:textFill>
              </w:rPr>
              <w:t>（</w:t>
            </w:r>
            <w:r>
              <w:rPr>
                <w:rFonts w:hint="eastAsia" w:ascii="Times New Roman" w:hAnsi="Times New Roman" w:cs="Times New Roman"/>
                <w:b w:val="0"/>
                <w:bCs w:val="0"/>
                <w:color w:val="000000" w:themeColor="text1"/>
                <w:lang w:val="en-US" w:eastAsia="zh-CN"/>
                <w14:textFill>
                  <w14:solidFill>
                    <w14:schemeClr w14:val="tx1"/>
                  </w14:solidFill>
                </w14:textFill>
              </w:rPr>
              <w:t>无夜班作业</w:t>
            </w:r>
            <w:r>
              <w:rPr>
                <w:rFonts w:hint="eastAsia" w:ascii="Times New Roman" w:hAnsi="Times New Roman" w:cs="Times New Roman"/>
                <w:b w:val="0"/>
                <w:bCs w:val="0"/>
                <w:color w:val="000000" w:themeColor="text1"/>
                <w:lang w:eastAsia="zh-CN"/>
                <w14:textFill>
                  <w14:solidFill>
                    <w14:schemeClr w14:val="tx1"/>
                  </w14:solidFill>
                </w14:textFill>
              </w:rPr>
              <w:t>）</w:t>
            </w:r>
            <w:r>
              <w:rPr>
                <w:rFonts w:hint="default" w:ascii="Times New Roman" w:hAnsi="Times New Roman" w:cs="Times New Roman"/>
                <w:b w:val="0"/>
                <w:bCs w:val="0"/>
                <w:color w:val="000000"/>
              </w:rPr>
              <w:t>。</w:t>
            </w:r>
            <w:bookmarkEnd w:id="7"/>
            <w:bookmarkEnd w:id="8"/>
            <w:r>
              <w:rPr>
                <w:rFonts w:hint="eastAsia" w:ascii="Times New Roman" w:hAnsi="Times New Roman" w:cs="Times New Roman"/>
                <w:b w:val="0"/>
                <w:bCs w:val="0"/>
                <w:color w:val="000000"/>
              </w:rPr>
              <w:t>项目建成后每年能够实现对2万批次免疫细胞药物进行质检和品控的能力，预计可为企业带来每年 1 亿元的营业收入，年纳税750万元。</w:t>
            </w:r>
          </w:p>
          <w:p w14:paraId="665CE403">
            <w:pPr>
              <w:pStyle w:val="42"/>
              <w:snapToGrid w:val="0"/>
              <w:spacing w:line="360" w:lineRule="auto"/>
              <w:ind w:firstLine="480" w:firstLineChars="200"/>
              <w:jc w:val="both"/>
              <w:rPr>
                <w:rFonts w:hint="default" w:ascii="Times New Roman" w:hAnsi="Times New Roman" w:cs="Times New Roman"/>
                <w:b w:val="0"/>
                <w:bCs w:val="0"/>
                <w:color w:val="000000"/>
              </w:rPr>
            </w:pPr>
            <w:r>
              <w:rPr>
                <w:rFonts w:hint="default" w:ascii="Times New Roman" w:hAnsi="Times New Roman" w:cs="Times New Roman"/>
                <w:b w:val="0"/>
                <w:bCs w:val="0"/>
                <w:color w:val="000000"/>
              </w:rPr>
              <w:t>本项目实际建设阶段环保投资一览表见表2-2。</w:t>
            </w:r>
          </w:p>
          <w:p w14:paraId="7825E10A">
            <w:pPr>
              <w:pStyle w:val="42"/>
              <w:snapToGrid w:val="0"/>
              <w:spacing w:line="360" w:lineRule="auto"/>
              <w:ind w:firstLine="480" w:firstLineChars="200"/>
              <w:jc w:val="both"/>
              <w:rPr>
                <w:rFonts w:hint="default" w:ascii="Times New Roman" w:hAnsi="Times New Roman" w:cs="Times New Roman"/>
                <w:b w:val="0"/>
                <w:bCs w:val="0"/>
                <w:color w:val="auto"/>
                <w:kern w:val="2"/>
              </w:rPr>
            </w:pPr>
            <w:r>
              <w:rPr>
                <w:rFonts w:hint="default" w:ascii="Times New Roman" w:hAnsi="Times New Roman" w:cs="Times New Roman"/>
                <w:b w:val="0"/>
                <w:bCs w:val="0"/>
                <w:color w:val="auto"/>
                <w:kern w:val="2"/>
              </w:rPr>
              <w:t>本项目环评阶段与实际建设阶段主要设备对照表见表2-3</w:t>
            </w:r>
          </w:p>
          <w:p w14:paraId="6042E24B">
            <w:pPr>
              <w:pStyle w:val="42"/>
              <w:snapToGrid w:val="0"/>
              <w:spacing w:line="360" w:lineRule="auto"/>
              <w:ind w:firstLine="480" w:firstLineChars="200"/>
              <w:jc w:val="both"/>
              <w:rPr>
                <w:rFonts w:hint="default" w:ascii="Times New Roman" w:hAnsi="Times New Roman" w:cs="Times New Roman"/>
                <w:b w:val="0"/>
                <w:bCs w:val="0"/>
                <w:color w:val="000000"/>
              </w:rPr>
            </w:pPr>
            <w:r>
              <w:rPr>
                <w:rFonts w:hint="default" w:ascii="Times New Roman" w:hAnsi="Times New Roman" w:cs="Times New Roman"/>
                <w:b w:val="0"/>
                <w:bCs w:val="0"/>
                <w:color w:val="000000"/>
              </w:rPr>
              <w:t>本项目环评报告及批复与实际建设内容一览表见表2-4。</w:t>
            </w:r>
          </w:p>
          <w:p w14:paraId="51AB0FCE">
            <w:pPr>
              <w:pStyle w:val="3"/>
              <w:jc w:val="center"/>
              <w:rPr>
                <w:rFonts w:hint="default" w:ascii="Times New Roman" w:hAnsi="Times New Roman"/>
                <w:b/>
                <w:bCs/>
                <w:spacing w:val="-1"/>
              </w:rPr>
            </w:pPr>
            <w:r>
              <w:rPr>
                <w:rFonts w:hint="default" w:ascii="Times New Roman" w:hAnsi="Times New Roman"/>
                <w:b/>
                <w:bCs/>
                <w:spacing w:val="-1"/>
              </w:rPr>
              <w:t>表2-</w:t>
            </w:r>
            <w:r>
              <w:rPr>
                <w:rFonts w:hint="eastAsia"/>
                <w:b/>
                <w:bCs/>
                <w:spacing w:val="-1"/>
                <w:lang w:val="en-US" w:eastAsia="zh-CN"/>
              </w:rPr>
              <w:t>1</w:t>
            </w:r>
            <w:r>
              <w:rPr>
                <w:rFonts w:hint="default" w:ascii="Times New Roman" w:hAnsi="Times New Roman"/>
                <w:b/>
                <w:bCs/>
                <w:spacing w:val="-1"/>
              </w:rPr>
              <w:t>本项目实际建设阶段环保投资一览表</w:t>
            </w:r>
          </w:p>
          <w:tbl>
            <w:tblPr>
              <w:tblStyle w:val="72"/>
              <w:tblW w:w="9246"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500"/>
              <w:gridCol w:w="1383"/>
              <w:gridCol w:w="6000"/>
              <w:gridCol w:w="1363"/>
            </w:tblGrid>
            <w:tr w14:paraId="149EDA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0" w:hRule="atLeast"/>
                <w:jc w:val="center"/>
              </w:trPr>
              <w:tc>
                <w:tcPr>
                  <w:tcW w:w="500" w:type="dxa"/>
                  <w:tcBorders>
                    <w:top w:val="single" w:color="000000" w:sz="10" w:space="0"/>
                  </w:tcBorders>
                  <w:vAlign w:val="center"/>
                </w:tcPr>
                <w:p w14:paraId="22AC3CE9">
                  <w:pPr>
                    <w:pStyle w:val="40"/>
                    <w:spacing w:before="20" w:line="222" w:lineRule="auto"/>
                    <w:jc w:val="center"/>
                    <w:rPr>
                      <w:rFonts w:hint="eastAsia" w:ascii="宋体" w:hAnsi="宋体" w:eastAsia="宋体" w:cs="宋体"/>
                      <w:sz w:val="21"/>
                      <w:szCs w:val="21"/>
                    </w:rPr>
                  </w:pPr>
                  <w:r>
                    <w:rPr>
                      <w:rFonts w:hint="eastAsia" w:ascii="宋体" w:hAnsi="宋体" w:eastAsia="宋体" w:cs="宋体"/>
                      <w:b/>
                      <w:bCs/>
                      <w:spacing w:val="-4"/>
                      <w:sz w:val="21"/>
                      <w:szCs w:val="21"/>
                    </w:rPr>
                    <w:t>序号</w:t>
                  </w:r>
                </w:p>
              </w:tc>
              <w:tc>
                <w:tcPr>
                  <w:tcW w:w="1383" w:type="dxa"/>
                  <w:tcBorders>
                    <w:top w:val="single" w:color="000000" w:sz="10" w:space="0"/>
                  </w:tcBorders>
                  <w:vAlign w:val="center"/>
                </w:tcPr>
                <w:p w14:paraId="59E8F4A2">
                  <w:pPr>
                    <w:pStyle w:val="40"/>
                    <w:spacing w:before="20" w:line="221" w:lineRule="auto"/>
                    <w:jc w:val="center"/>
                    <w:rPr>
                      <w:rFonts w:hint="eastAsia" w:ascii="宋体" w:hAnsi="宋体" w:eastAsia="宋体" w:cs="宋体"/>
                      <w:sz w:val="21"/>
                      <w:szCs w:val="21"/>
                    </w:rPr>
                  </w:pPr>
                  <w:r>
                    <w:rPr>
                      <w:rFonts w:hint="eastAsia" w:ascii="宋体" w:hAnsi="宋体" w:eastAsia="宋体" w:cs="宋体"/>
                      <w:b/>
                      <w:bCs/>
                      <w:spacing w:val="-5"/>
                      <w:sz w:val="21"/>
                      <w:szCs w:val="21"/>
                    </w:rPr>
                    <w:t>项目</w:t>
                  </w:r>
                </w:p>
              </w:tc>
              <w:tc>
                <w:tcPr>
                  <w:tcW w:w="6000" w:type="dxa"/>
                  <w:tcBorders>
                    <w:top w:val="single" w:color="000000" w:sz="10" w:space="0"/>
                  </w:tcBorders>
                  <w:vAlign w:val="center"/>
                </w:tcPr>
                <w:p w14:paraId="60D80732">
                  <w:pPr>
                    <w:pStyle w:val="40"/>
                    <w:spacing w:before="19" w:line="221" w:lineRule="auto"/>
                    <w:jc w:val="center"/>
                    <w:rPr>
                      <w:rFonts w:hint="eastAsia" w:ascii="宋体" w:hAnsi="宋体" w:eastAsia="宋体" w:cs="宋体"/>
                      <w:sz w:val="21"/>
                      <w:szCs w:val="21"/>
                    </w:rPr>
                  </w:pPr>
                  <w:r>
                    <w:rPr>
                      <w:rFonts w:hint="eastAsia" w:ascii="宋体" w:hAnsi="宋体" w:eastAsia="宋体" w:cs="宋体"/>
                      <w:b/>
                      <w:bCs/>
                      <w:spacing w:val="-11"/>
                      <w:sz w:val="21"/>
                      <w:szCs w:val="21"/>
                    </w:rPr>
                    <w:t>内容</w:t>
                  </w:r>
                </w:p>
              </w:tc>
              <w:tc>
                <w:tcPr>
                  <w:tcW w:w="1363" w:type="dxa"/>
                  <w:tcBorders>
                    <w:top w:val="single" w:color="000000" w:sz="10" w:space="0"/>
                    <w:right w:val="single" w:color="000000" w:sz="6" w:space="0"/>
                  </w:tcBorders>
                  <w:vAlign w:val="center"/>
                </w:tcPr>
                <w:p w14:paraId="085216B0">
                  <w:pPr>
                    <w:pStyle w:val="40"/>
                    <w:spacing w:before="19" w:line="221" w:lineRule="auto"/>
                    <w:jc w:val="center"/>
                    <w:rPr>
                      <w:rFonts w:hint="eastAsia" w:ascii="宋体" w:hAnsi="宋体" w:eastAsia="宋体" w:cs="宋体"/>
                      <w:sz w:val="21"/>
                      <w:szCs w:val="21"/>
                    </w:rPr>
                  </w:pPr>
                  <w:r>
                    <w:rPr>
                      <w:rFonts w:hint="eastAsia" w:ascii="宋体" w:hAnsi="宋体" w:eastAsia="宋体" w:cs="宋体"/>
                      <w:b/>
                      <w:bCs/>
                      <w:spacing w:val="-5"/>
                      <w:sz w:val="21"/>
                      <w:szCs w:val="21"/>
                    </w:rPr>
                    <w:t>金额（万元）</w:t>
                  </w:r>
                </w:p>
              </w:tc>
            </w:tr>
            <w:tr w14:paraId="5524F5F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0" w:hRule="atLeast"/>
                <w:jc w:val="center"/>
              </w:trPr>
              <w:tc>
                <w:tcPr>
                  <w:tcW w:w="500" w:type="dxa"/>
                  <w:tcBorders>
                    <w:top w:val="single" w:color="000000" w:sz="10" w:space="0"/>
                  </w:tcBorders>
                  <w:vAlign w:val="center"/>
                </w:tcPr>
                <w:p w14:paraId="6EB168BF">
                  <w:pPr>
                    <w:spacing w:before="79" w:line="187" w:lineRule="auto"/>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w:t>
                  </w:r>
                </w:p>
              </w:tc>
              <w:tc>
                <w:tcPr>
                  <w:tcW w:w="1383" w:type="dxa"/>
                  <w:tcBorders>
                    <w:top w:val="single" w:color="000000" w:sz="10" w:space="0"/>
                  </w:tcBorders>
                  <w:vAlign w:val="center"/>
                </w:tcPr>
                <w:p w14:paraId="07C6007B">
                  <w:pPr>
                    <w:spacing w:before="79" w:line="187" w:lineRule="auto"/>
                    <w:jc w:val="center"/>
                    <w:rPr>
                      <w:rFonts w:hint="eastAsia" w:ascii="宋体" w:hAnsi="宋体" w:eastAsia="宋体" w:cs="宋体"/>
                      <w:sz w:val="21"/>
                      <w:szCs w:val="21"/>
                    </w:rPr>
                  </w:pPr>
                  <w:r>
                    <w:rPr>
                      <w:rFonts w:hint="eastAsia" w:ascii="宋体" w:hAnsi="宋体" w:eastAsia="宋体" w:cs="宋体"/>
                      <w:sz w:val="21"/>
                      <w:szCs w:val="21"/>
                    </w:rPr>
                    <w:t>废气治理</w:t>
                  </w:r>
                </w:p>
              </w:tc>
              <w:tc>
                <w:tcPr>
                  <w:tcW w:w="6000" w:type="dxa"/>
                  <w:tcBorders>
                    <w:top w:val="single" w:color="000000" w:sz="10" w:space="0"/>
                  </w:tcBorders>
                  <w:vAlign w:val="center"/>
                </w:tcPr>
                <w:p w14:paraId="3484DEAA">
                  <w:pPr>
                    <w:spacing w:before="79" w:line="187" w:lineRule="auto"/>
                    <w:jc w:val="center"/>
                    <w:rPr>
                      <w:rFonts w:hint="eastAsia" w:ascii="宋体" w:hAnsi="宋体" w:eastAsia="宋体" w:cs="宋体"/>
                      <w:sz w:val="21"/>
                      <w:szCs w:val="21"/>
                    </w:rPr>
                  </w:pPr>
                  <w:r>
                    <w:rPr>
                      <w:rFonts w:hint="eastAsia" w:ascii="宋体" w:hAnsi="宋体" w:eastAsia="宋体" w:cs="宋体"/>
                      <w:sz w:val="21"/>
                      <w:szCs w:val="21"/>
                      <w:lang w:val="en-US" w:eastAsia="zh-CN"/>
                    </w:rPr>
                    <w:t>设置集气罩装置，内置活性炭</w:t>
                  </w:r>
                </w:p>
              </w:tc>
              <w:tc>
                <w:tcPr>
                  <w:tcW w:w="1363" w:type="dxa"/>
                  <w:tcBorders>
                    <w:top w:val="single" w:color="000000" w:sz="10" w:space="0"/>
                    <w:right w:val="single" w:color="000000" w:sz="6" w:space="0"/>
                  </w:tcBorders>
                  <w:vAlign w:val="center"/>
                </w:tcPr>
                <w:p w14:paraId="1E3A93FF">
                  <w:pPr>
                    <w:spacing w:before="79" w:line="187" w:lineRule="auto"/>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7</w:t>
                  </w:r>
                </w:p>
              </w:tc>
            </w:tr>
            <w:tr w14:paraId="501A44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500" w:type="dxa"/>
                  <w:vAlign w:val="center"/>
                </w:tcPr>
                <w:p w14:paraId="0CCCE7BD">
                  <w:pPr>
                    <w:spacing w:before="79" w:line="187" w:lineRule="auto"/>
                    <w:jc w:val="center"/>
                    <w:rPr>
                      <w:rFonts w:hint="eastAsia" w:ascii="宋体" w:hAnsi="宋体" w:eastAsia="宋体" w:cs="宋体"/>
                      <w:sz w:val="21"/>
                      <w:szCs w:val="21"/>
                    </w:rPr>
                  </w:pPr>
                  <w:r>
                    <w:rPr>
                      <w:rFonts w:hint="eastAsia" w:ascii="宋体" w:hAnsi="宋体" w:eastAsia="宋体" w:cs="宋体"/>
                      <w:sz w:val="21"/>
                      <w:szCs w:val="21"/>
                    </w:rPr>
                    <w:t>2</w:t>
                  </w:r>
                </w:p>
              </w:tc>
              <w:tc>
                <w:tcPr>
                  <w:tcW w:w="1383" w:type="dxa"/>
                  <w:vAlign w:val="center"/>
                </w:tcPr>
                <w:p w14:paraId="2482FD11">
                  <w:pPr>
                    <w:pStyle w:val="40"/>
                    <w:spacing w:before="33" w:line="221" w:lineRule="auto"/>
                    <w:jc w:val="center"/>
                    <w:rPr>
                      <w:rFonts w:hint="default" w:ascii="宋体" w:hAnsi="宋体" w:eastAsia="宋体" w:cs="宋体"/>
                      <w:sz w:val="21"/>
                      <w:szCs w:val="21"/>
                      <w:lang w:val="en-US" w:eastAsia="zh-CN"/>
                    </w:rPr>
                  </w:pPr>
                  <w:r>
                    <w:rPr>
                      <w:rFonts w:hint="eastAsia" w:ascii="宋体" w:hAnsi="宋体" w:cs="宋体"/>
                      <w:sz w:val="21"/>
                      <w:szCs w:val="21"/>
                      <w:lang w:val="en-US" w:eastAsia="zh-CN"/>
                    </w:rPr>
                    <w:t>废水治理</w:t>
                  </w:r>
                </w:p>
              </w:tc>
              <w:tc>
                <w:tcPr>
                  <w:tcW w:w="6000" w:type="dxa"/>
                  <w:vAlign w:val="center"/>
                </w:tcPr>
                <w:p w14:paraId="7716A4B3">
                  <w:pPr>
                    <w:pStyle w:val="40"/>
                    <w:spacing w:before="33" w:line="220" w:lineRule="auto"/>
                    <w:jc w:val="center"/>
                    <w:rPr>
                      <w:rFonts w:hint="default" w:ascii="宋体" w:hAnsi="宋体" w:eastAsia="宋体" w:cs="宋体"/>
                      <w:sz w:val="21"/>
                      <w:szCs w:val="21"/>
                      <w:lang w:val="en-US" w:eastAsia="zh-CN"/>
                    </w:rPr>
                  </w:pPr>
                  <w:r>
                    <w:rPr>
                      <w:rFonts w:hint="eastAsia" w:ascii="宋体" w:hAnsi="宋体" w:cs="宋体"/>
                      <w:sz w:val="21"/>
                      <w:szCs w:val="21"/>
                      <w:lang w:val="en-US" w:eastAsia="zh-CN"/>
                    </w:rPr>
                    <w:t>依托现有生产污水处理站及所在建筑现有化粪池</w:t>
                  </w:r>
                </w:p>
              </w:tc>
              <w:tc>
                <w:tcPr>
                  <w:tcW w:w="1363" w:type="dxa"/>
                  <w:tcBorders>
                    <w:right w:val="single" w:color="000000" w:sz="6" w:space="0"/>
                  </w:tcBorders>
                  <w:vAlign w:val="center"/>
                </w:tcPr>
                <w:p w14:paraId="2FA38550">
                  <w:pPr>
                    <w:spacing w:before="79" w:line="187" w:lineRule="auto"/>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0</w:t>
                  </w:r>
                </w:p>
              </w:tc>
            </w:tr>
            <w:tr w14:paraId="30531C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500" w:type="dxa"/>
                  <w:vAlign w:val="center"/>
                </w:tcPr>
                <w:p w14:paraId="16B42D13">
                  <w:pPr>
                    <w:spacing w:before="79" w:line="187" w:lineRule="auto"/>
                    <w:jc w:val="center"/>
                    <w:rPr>
                      <w:rFonts w:hint="eastAsia" w:ascii="宋体" w:hAnsi="宋体" w:eastAsia="宋体" w:cs="宋体"/>
                      <w:sz w:val="21"/>
                      <w:szCs w:val="21"/>
                    </w:rPr>
                  </w:pPr>
                  <w:r>
                    <w:rPr>
                      <w:rFonts w:hint="eastAsia" w:ascii="宋体" w:hAnsi="宋体" w:eastAsia="宋体" w:cs="宋体"/>
                      <w:sz w:val="21"/>
                      <w:szCs w:val="21"/>
                    </w:rPr>
                    <w:t>3</w:t>
                  </w:r>
                </w:p>
              </w:tc>
              <w:tc>
                <w:tcPr>
                  <w:tcW w:w="1383" w:type="dxa"/>
                  <w:vAlign w:val="center"/>
                </w:tcPr>
                <w:p w14:paraId="59872087">
                  <w:pPr>
                    <w:spacing w:before="79" w:line="187" w:lineRule="auto"/>
                    <w:jc w:val="center"/>
                    <w:rPr>
                      <w:rFonts w:hint="eastAsia" w:ascii="宋体" w:hAnsi="宋体" w:eastAsia="宋体" w:cs="宋体"/>
                      <w:sz w:val="21"/>
                      <w:szCs w:val="21"/>
                    </w:rPr>
                  </w:pPr>
                  <w:r>
                    <w:rPr>
                      <w:rFonts w:hint="eastAsia" w:ascii="宋体" w:hAnsi="宋体" w:eastAsia="宋体" w:cs="宋体"/>
                      <w:sz w:val="21"/>
                      <w:szCs w:val="21"/>
                    </w:rPr>
                    <w:t>噪声治理</w:t>
                  </w:r>
                </w:p>
              </w:tc>
              <w:tc>
                <w:tcPr>
                  <w:tcW w:w="6000" w:type="dxa"/>
                  <w:vAlign w:val="center"/>
                </w:tcPr>
                <w:p w14:paraId="4413F443">
                  <w:pPr>
                    <w:spacing w:before="79" w:line="187" w:lineRule="auto"/>
                    <w:jc w:val="center"/>
                    <w:rPr>
                      <w:rFonts w:hint="eastAsia" w:ascii="宋体" w:hAnsi="宋体" w:eastAsia="宋体" w:cs="宋体"/>
                      <w:sz w:val="21"/>
                      <w:szCs w:val="21"/>
                    </w:rPr>
                  </w:pPr>
                  <w:r>
                    <w:rPr>
                      <w:rFonts w:hint="eastAsia" w:ascii="宋体" w:hAnsi="宋体" w:eastAsia="宋体" w:cs="宋体"/>
                      <w:sz w:val="21"/>
                      <w:szCs w:val="21"/>
                    </w:rPr>
                    <w:t>基础减振、建筑隔声</w:t>
                  </w:r>
                </w:p>
              </w:tc>
              <w:tc>
                <w:tcPr>
                  <w:tcW w:w="1363" w:type="dxa"/>
                  <w:tcBorders>
                    <w:right w:val="single" w:color="000000" w:sz="6" w:space="0"/>
                  </w:tcBorders>
                  <w:vAlign w:val="center"/>
                </w:tcPr>
                <w:p w14:paraId="613BEF2F">
                  <w:pPr>
                    <w:spacing w:before="79" w:line="187" w:lineRule="auto"/>
                    <w:jc w:val="center"/>
                    <w:rPr>
                      <w:rFonts w:hint="eastAsia" w:ascii="宋体" w:hAnsi="宋体" w:eastAsia="宋体" w:cs="宋体"/>
                      <w:sz w:val="21"/>
                      <w:szCs w:val="21"/>
                      <w:lang w:eastAsia="zh-CN"/>
                    </w:rPr>
                  </w:pPr>
                  <w:r>
                    <w:rPr>
                      <w:rFonts w:hint="eastAsia" w:ascii="宋体" w:hAnsi="宋体" w:eastAsia="宋体" w:cs="宋体"/>
                      <w:sz w:val="21"/>
                      <w:szCs w:val="21"/>
                      <w:lang w:val="en-US" w:eastAsia="zh-CN"/>
                    </w:rPr>
                    <w:t>2</w:t>
                  </w:r>
                </w:p>
              </w:tc>
            </w:tr>
            <w:tr w14:paraId="6A481D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500" w:type="dxa"/>
                  <w:vAlign w:val="center"/>
                </w:tcPr>
                <w:p w14:paraId="4937EF9B">
                  <w:pPr>
                    <w:spacing w:before="79" w:line="187" w:lineRule="auto"/>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4</w:t>
                  </w:r>
                </w:p>
              </w:tc>
              <w:tc>
                <w:tcPr>
                  <w:tcW w:w="1383" w:type="dxa"/>
                  <w:vAlign w:val="center"/>
                </w:tcPr>
                <w:p w14:paraId="708B87C3">
                  <w:pPr>
                    <w:spacing w:before="79" w:line="187" w:lineRule="auto"/>
                    <w:jc w:val="center"/>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固废治理</w:t>
                  </w:r>
                </w:p>
              </w:tc>
              <w:tc>
                <w:tcPr>
                  <w:tcW w:w="6000" w:type="dxa"/>
                  <w:vAlign w:val="center"/>
                </w:tcPr>
                <w:p w14:paraId="6AB422AC">
                  <w:pPr>
                    <w:pStyle w:val="110"/>
                    <w:spacing w:before="17" w:line="242" w:lineRule="auto"/>
                    <w:ind w:left="26" w:right="9"/>
                    <w:jc w:val="center"/>
                    <w:rPr>
                      <w:rFonts w:hint="eastAsia" w:ascii="宋体" w:hAnsi="宋体" w:eastAsia="宋体" w:cs="宋体"/>
                      <w:sz w:val="21"/>
                      <w:lang w:val="en-US" w:eastAsia="zh-CN"/>
                    </w:rPr>
                  </w:pPr>
                  <w:r>
                    <w:rPr>
                      <w:rFonts w:hint="eastAsia" w:ascii="宋体" w:hAnsi="宋体" w:eastAsia="宋体" w:cs="宋体"/>
                      <w:sz w:val="21"/>
                      <w:lang w:val="en-US" w:eastAsia="zh-CN"/>
                    </w:rPr>
                    <w:t>危险废物密依托现有危废暂存间，一般固废及生活垃圾</w:t>
                  </w:r>
                  <w:r>
                    <w:rPr>
                      <w:rFonts w:hint="eastAsia"/>
                      <w:lang w:val="en-US"/>
                    </w:rPr>
                    <w:t>转运至园区垃圾站，物业委托环卫机构定期清运</w:t>
                  </w:r>
                </w:p>
              </w:tc>
              <w:tc>
                <w:tcPr>
                  <w:tcW w:w="1363" w:type="dxa"/>
                  <w:tcBorders>
                    <w:right w:val="single" w:color="000000" w:sz="6" w:space="0"/>
                  </w:tcBorders>
                  <w:vAlign w:val="center"/>
                </w:tcPr>
                <w:p w14:paraId="27AE45B1">
                  <w:pPr>
                    <w:spacing w:before="79" w:line="187" w:lineRule="auto"/>
                    <w:jc w:val="center"/>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1</w:t>
                  </w:r>
                </w:p>
              </w:tc>
            </w:tr>
            <w:tr w14:paraId="292B705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500" w:type="dxa"/>
                  <w:tcBorders>
                    <w:bottom w:val="single" w:color="000000" w:sz="10" w:space="0"/>
                  </w:tcBorders>
                  <w:vAlign w:val="center"/>
                </w:tcPr>
                <w:p w14:paraId="291DA30E">
                  <w:pPr>
                    <w:spacing w:before="79" w:line="187" w:lineRule="auto"/>
                    <w:jc w:val="center"/>
                    <w:rPr>
                      <w:rFonts w:hint="eastAsia" w:ascii="宋体" w:hAnsi="宋体" w:eastAsia="宋体" w:cs="宋体"/>
                      <w:sz w:val="21"/>
                      <w:szCs w:val="21"/>
                    </w:rPr>
                  </w:pPr>
                  <w:r>
                    <w:rPr>
                      <w:rFonts w:hint="eastAsia" w:ascii="宋体" w:hAnsi="宋体" w:eastAsia="宋体" w:cs="宋体"/>
                      <w:sz w:val="21"/>
                      <w:szCs w:val="21"/>
                    </w:rPr>
                    <w:t>合计</w:t>
                  </w:r>
                </w:p>
              </w:tc>
              <w:tc>
                <w:tcPr>
                  <w:tcW w:w="1383" w:type="dxa"/>
                  <w:tcBorders>
                    <w:bottom w:val="single" w:color="000000" w:sz="10" w:space="0"/>
                  </w:tcBorders>
                  <w:vAlign w:val="center"/>
                </w:tcPr>
                <w:p w14:paraId="1F943C25">
                  <w:pPr>
                    <w:spacing w:before="79" w:line="187" w:lineRule="auto"/>
                    <w:jc w:val="center"/>
                    <w:rPr>
                      <w:rFonts w:hint="eastAsia" w:ascii="宋体" w:hAnsi="宋体" w:eastAsia="宋体" w:cs="宋体"/>
                      <w:sz w:val="21"/>
                      <w:szCs w:val="21"/>
                    </w:rPr>
                  </w:pPr>
                  <w:r>
                    <w:rPr>
                      <w:rFonts w:hint="eastAsia" w:ascii="宋体" w:hAnsi="宋体" w:eastAsia="宋体" w:cs="宋体"/>
                      <w:sz w:val="21"/>
                      <w:szCs w:val="21"/>
                    </w:rPr>
                    <w:t>/</w:t>
                  </w:r>
                </w:p>
              </w:tc>
              <w:tc>
                <w:tcPr>
                  <w:tcW w:w="6000" w:type="dxa"/>
                  <w:tcBorders>
                    <w:bottom w:val="single" w:color="000000" w:sz="10" w:space="0"/>
                  </w:tcBorders>
                  <w:vAlign w:val="center"/>
                </w:tcPr>
                <w:p w14:paraId="100FD499">
                  <w:pPr>
                    <w:spacing w:before="79" w:line="187" w:lineRule="auto"/>
                    <w:jc w:val="center"/>
                    <w:rPr>
                      <w:rFonts w:hint="eastAsia" w:ascii="宋体" w:hAnsi="宋体" w:eastAsia="宋体" w:cs="宋体"/>
                      <w:kern w:val="2"/>
                      <w:sz w:val="21"/>
                      <w:szCs w:val="22"/>
                      <w:lang w:val="en-US" w:eastAsia="zh-CN" w:bidi="zh-CN"/>
                    </w:rPr>
                  </w:pPr>
                  <w:r>
                    <w:rPr>
                      <w:rFonts w:hint="eastAsia" w:ascii="宋体" w:hAnsi="宋体" w:eastAsia="宋体" w:cs="宋体"/>
                      <w:kern w:val="2"/>
                      <w:sz w:val="21"/>
                      <w:szCs w:val="22"/>
                      <w:lang w:val="en-US" w:eastAsia="zh-CN" w:bidi="zh-CN"/>
                    </w:rPr>
                    <w:t>/</w:t>
                  </w:r>
                </w:p>
              </w:tc>
              <w:tc>
                <w:tcPr>
                  <w:tcW w:w="1363" w:type="dxa"/>
                  <w:tcBorders>
                    <w:bottom w:val="single" w:color="000000" w:sz="10" w:space="0"/>
                    <w:right w:val="single" w:color="000000" w:sz="6" w:space="0"/>
                  </w:tcBorders>
                  <w:vAlign w:val="center"/>
                </w:tcPr>
                <w:p w14:paraId="785E74F1">
                  <w:pPr>
                    <w:spacing w:before="79" w:line="187" w:lineRule="auto"/>
                    <w:jc w:val="center"/>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10</w:t>
                  </w:r>
                </w:p>
              </w:tc>
            </w:tr>
          </w:tbl>
          <w:p w14:paraId="37664E0A">
            <w:pPr>
              <w:pStyle w:val="3"/>
              <w:jc w:val="center"/>
              <w:rPr>
                <w:rFonts w:hint="default" w:ascii="Times New Roman" w:hAnsi="Times New Roman"/>
                <w:b/>
                <w:bCs/>
                <w:spacing w:val="-1"/>
              </w:rPr>
            </w:pPr>
          </w:p>
          <w:p w14:paraId="0FEB1BAF">
            <w:pPr>
              <w:pStyle w:val="3"/>
              <w:jc w:val="center"/>
              <w:rPr>
                <w:rFonts w:hint="default" w:ascii="Times New Roman" w:hAnsi="Times New Roman"/>
                <w:b/>
                <w:bCs/>
                <w:spacing w:val="-1"/>
              </w:rPr>
            </w:pPr>
            <w:r>
              <w:rPr>
                <w:rFonts w:hint="default" w:ascii="Times New Roman" w:hAnsi="Times New Roman"/>
                <w:b/>
                <w:bCs/>
                <w:spacing w:val="-1"/>
              </w:rPr>
              <w:t>表2-3本项目环评阶段与实际建设阶段主要设备对照表</w:t>
            </w:r>
          </w:p>
          <w:tbl>
            <w:tblPr>
              <w:tblStyle w:val="29"/>
              <w:tblW w:w="4970" w:type="pct"/>
              <w:jc w:val="center"/>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717"/>
              <w:gridCol w:w="2400"/>
              <w:gridCol w:w="1620"/>
              <w:gridCol w:w="1108"/>
              <w:gridCol w:w="1025"/>
              <w:gridCol w:w="1144"/>
              <w:gridCol w:w="1181"/>
            </w:tblGrid>
            <w:tr w14:paraId="614F23A9">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718" w:type="dxa"/>
                  <w:tcBorders>
                    <w:tl2br w:val="nil"/>
                    <w:tr2bl w:val="nil"/>
                  </w:tcBorders>
                  <w:shd w:val="clear" w:color="auto" w:fill="auto"/>
                  <w:vAlign w:val="center"/>
                </w:tcPr>
                <w:p w14:paraId="1BA04D04">
                  <w:pPr>
                    <w:keepNext w:val="0"/>
                    <w:keepLines w:val="0"/>
                    <w:widowControl/>
                    <w:suppressLineNumbers w:val="0"/>
                    <w:jc w:val="center"/>
                    <w:textAlignment w:val="center"/>
                    <w:rPr>
                      <w:rFonts w:hint="default" w:ascii="Times New Roman" w:hAnsi="Times New Roman" w:eastAsia="宋体" w:cs="Times New Roman"/>
                      <w:b/>
                      <w:bCs/>
                      <w:sz w:val="21"/>
                      <w:szCs w:val="21"/>
                      <w:highlight w:val="yellow"/>
                    </w:rPr>
                  </w:pPr>
                  <w:r>
                    <w:rPr>
                      <w:rFonts w:hint="default" w:ascii="Times New Roman" w:hAnsi="Times New Roman" w:eastAsia="宋体" w:cs="Times New Roman"/>
                      <w:b/>
                      <w:bCs/>
                      <w:i w:val="0"/>
                      <w:iCs w:val="0"/>
                      <w:color w:val="000000"/>
                      <w:kern w:val="0"/>
                      <w:sz w:val="21"/>
                      <w:szCs w:val="21"/>
                      <w:u w:val="none"/>
                      <w:lang w:val="en-US" w:eastAsia="zh-CN" w:bidi="ar"/>
                    </w:rPr>
                    <w:t>序号</w:t>
                  </w:r>
                </w:p>
              </w:tc>
              <w:tc>
                <w:tcPr>
                  <w:tcW w:w="2401" w:type="dxa"/>
                  <w:tcBorders>
                    <w:tl2br w:val="nil"/>
                    <w:tr2bl w:val="nil"/>
                  </w:tcBorders>
                  <w:shd w:val="clear" w:color="auto" w:fill="auto"/>
                  <w:vAlign w:val="center"/>
                </w:tcPr>
                <w:p w14:paraId="76C59D36">
                  <w:pPr>
                    <w:keepNext w:val="0"/>
                    <w:keepLines w:val="0"/>
                    <w:widowControl/>
                    <w:suppressLineNumbers w:val="0"/>
                    <w:jc w:val="center"/>
                    <w:textAlignment w:val="center"/>
                    <w:rPr>
                      <w:rStyle w:val="61"/>
                      <w:rFonts w:hint="default" w:ascii="Times New Roman" w:hAnsi="Times New Roman" w:eastAsia="宋体" w:cs="Times New Roman"/>
                      <w:b/>
                      <w:bCs/>
                      <w:sz w:val="21"/>
                      <w:szCs w:val="21"/>
                      <w:highlight w:val="yellow"/>
                    </w:rPr>
                  </w:pPr>
                  <w:r>
                    <w:rPr>
                      <w:rFonts w:hint="default" w:ascii="Times New Roman" w:hAnsi="Times New Roman" w:eastAsia="宋体" w:cs="Times New Roman"/>
                      <w:b/>
                      <w:bCs/>
                      <w:i w:val="0"/>
                      <w:iCs w:val="0"/>
                      <w:color w:val="000000"/>
                      <w:kern w:val="0"/>
                      <w:sz w:val="21"/>
                      <w:szCs w:val="21"/>
                      <w:u w:val="none"/>
                      <w:lang w:val="en-US" w:eastAsia="zh-CN" w:bidi="ar"/>
                    </w:rPr>
                    <w:t xml:space="preserve">设备名称 </w:t>
                  </w:r>
                </w:p>
              </w:tc>
              <w:tc>
                <w:tcPr>
                  <w:tcW w:w="1620" w:type="dxa"/>
                  <w:tcBorders>
                    <w:tl2br w:val="nil"/>
                    <w:tr2bl w:val="nil"/>
                  </w:tcBorders>
                  <w:shd w:val="clear" w:color="auto" w:fill="auto"/>
                  <w:vAlign w:val="center"/>
                </w:tcPr>
                <w:p w14:paraId="7AC12DEE">
                  <w:pPr>
                    <w:keepNext w:val="0"/>
                    <w:keepLines w:val="0"/>
                    <w:widowControl/>
                    <w:suppressLineNumbers w:val="0"/>
                    <w:jc w:val="center"/>
                    <w:textAlignment w:val="center"/>
                    <w:rPr>
                      <w:rFonts w:hint="default" w:ascii="Times New Roman" w:hAnsi="Times New Roman" w:eastAsia="宋体" w:cs="Times New Roman"/>
                      <w:b/>
                      <w:bCs/>
                      <w:sz w:val="21"/>
                      <w:szCs w:val="21"/>
                      <w:highlight w:val="yellow"/>
                    </w:rPr>
                  </w:pPr>
                  <w:r>
                    <w:rPr>
                      <w:rFonts w:hint="default" w:ascii="Times New Roman" w:hAnsi="Times New Roman" w:eastAsia="宋体" w:cs="Times New Roman"/>
                      <w:b/>
                      <w:bCs/>
                      <w:i w:val="0"/>
                      <w:iCs w:val="0"/>
                      <w:color w:val="000000"/>
                      <w:kern w:val="0"/>
                      <w:sz w:val="21"/>
                      <w:szCs w:val="21"/>
                      <w:u w:val="none"/>
                      <w:lang w:val="en-US" w:eastAsia="zh-CN" w:bidi="ar"/>
                    </w:rPr>
                    <w:t xml:space="preserve">环评型号 </w:t>
                  </w:r>
                </w:p>
              </w:tc>
              <w:tc>
                <w:tcPr>
                  <w:tcW w:w="1108" w:type="dxa"/>
                  <w:tcBorders>
                    <w:tl2br w:val="nil"/>
                    <w:tr2bl w:val="nil"/>
                  </w:tcBorders>
                  <w:shd w:val="clear" w:color="auto" w:fill="auto"/>
                  <w:vAlign w:val="center"/>
                </w:tcPr>
                <w:p w14:paraId="02BA77D8">
                  <w:pPr>
                    <w:keepNext w:val="0"/>
                    <w:keepLines w:val="0"/>
                    <w:widowControl/>
                    <w:suppressLineNumbers w:val="0"/>
                    <w:jc w:val="center"/>
                    <w:textAlignment w:val="center"/>
                    <w:rPr>
                      <w:rFonts w:hint="default" w:ascii="Times New Roman" w:hAnsi="Times New Roman" w:eastAsia="宋体" w:cs="Times New Roman"/>
                      <w:b/>
                      <w:bCs/>
                      <w:sz w:val="21"/>
                      <w:szCs w:val="21"/>
                      <w:highlight w:val="yellow"/>
                    </w:rPr>
                  </w:pPr>
                  <w:r>
                    <w:rPr>
                      <w:rFonts w:hint="default" w:ascii="Times New Roman" w:hAnsi="Times New Roman" w:eastAsia="宋体" w:cs="Times New Roman"/>
                      <w:b/>
                      <w:bCs/>
                      <w:i w:val="0"/>
                      <w:iCs w:val="0"/>
                      <w:color w:val="000000"/>
                      <w:kern w:val="0"/>
                      <w:sz w:val="21"/>
                      <w:szCs w:val="21"/>
                      <w:u w:val="none"/>
                      <w:lang w:val="en-US" w:eastAsia="zh-CN" w:bidi="ar"/>
                    </w:rPr>
                    <w:t>环评数量（台）</w:t>
                  </w:r>
                </w:p>
              </w:tc>
              <w:tc>
                <w:tcPr>
                  <w:tcW w:w="1025" w:type="dxa"/>
                  <w:tcBorders>
                    <w:tl2br w:val="nil"/>
                    <w:tr2bl w:val="nil"/>
                  </w:tcBorders>
                  <w:vAlign w:val="center"/>
                </w:tcPr>
                <w:p w14:paraId="3480286B">
                  <w:pPr>
                    <w:keepNext w:val="0"/>
                    <w:keepLines w:val="0"/>
                    <w:widowControl/>
                    <w:suppressLineNumbers w:val="0"/>
                    <w:jc w:val="center"/>
                    <w:textAlignment w:val="center"/>
                    <w:rPr>
                      <w:rFonts w:hint="default" w:ascii="Times New Roman" w:hAnsi="Times New Roman" w:eastAsia="宋体" w:cs="Times New Roman"/>
                      <w:b/>
                      <w:bCs/>
                      <w:sz w:val="21"/>
                      <w:szCs w:val="21"/>
                      <w:highlight w:val="yellow"/>
                    </w:rPr>
                  </w:pPr>
                  <w:r>
                    <w:rPr>
                      <w:rFonts w:hint="default" w:ascii="Times New Roman" w:hAnsi="Times New Roman" w:eastAsia="宋体" w:cs="Times New Roman"/>
                      <w:b/>
                      <w:bCs/>
                      <w:i w:val="0"/>
                      <w:iCs w:val="0"/>
                      <w:color w:val="000000"/>
                      <w:kern w:val="0"/>
                      <w:sz w:val="21"/>
                      <w:szCs w:val="21"/>
                      <w:u w:val="none"/>
                      <w:lang w:val="en-US" w:eastAsia="zh-CN" w:bidi="ar"/>
                    </w:rPr>
                    <w:t>实际数量（台）</w:t>
                  </w:r>
                </w:p>
              </w:tc>
              <w:tc>
                <w:tcPr>
                  <w:tcW w:w="1144" w:type="dxa"/>
                  <w:tcBorders>
                    <w:tl2br w:val="nil"/>
                    <w:tr2bl w:val="nil"/>
                  </w:tcBorders>
                  <w:shd w:val="clear" w:color="auto" w:fill="auto"/>
                  <w:vAlign w:val="center"/>
                </w:tcPr>
                <w:p w14:paraId="3B20B884">
                  <w:pPr>
                    <w:keepNext w:val="0"/>
                    <w:keepLines w:val="0"/>
                    <w:widowControl/>
                    <w:suppressLineNumbers w:val="0"/>
                    <w:jc w:val="center"/>
                    <w:textAlignment w:val="center"/>
                    <w:rPr>
                      <w:rFonts w:hint="default" w:ascii="Times New Roman" w:hAnsi="Times New Roman" w:eastAsia="宋体" w:cs="Times New Roman"/>
                      <w:b/>
                      <w:bCs/>
                      <w:sz w:val="21"/>
                      <w:szCs w:val="21"/>
                      <w:highlight w:val="yellow"/>
                      <w:lang w:val="en-US"/>
                    </w:rPr>
                  </w:pPr>
                  <w:r>
                    <w:rPr>
                      <w:rFonts w:hint="default" w:ascii="Times New Roman" w:hAnsi="Times New Roman" w:eastAsia="宋体" w:cs="Times New Roman"/>
                      <w:b/>
                      <w:bCs/>
                      <w:i w:val="0"/>
                      <w:iCs w:val="0"/>
                      <w:color w:val="000000"/>
                      <w:kern w:val="0"/>
                      <w:sz w:val="21"/>
                      <w:szCs w:val="21"/>
                      <w:u w:val="none"/>
                      <w:lang w:val="en-US" w:eastAsia="zh-CN" w:bidi="ar"/>
                    </w:rPr>
                    <w:t>变化情况</w:t>
                  </w:r>
                  <w:r>
                    <w:rPr>
                      <w:rFonts w:hint="eastAsia" w:ascii="Times New Roman" w:hAnsi="Times New Roman" w:eastAsia="宋体" w:cs="Times New Roman"/>
                      <w:b/>
                      <w:bCs/>
                      <w:i w:val="0"/>
                      <w:iCs w:val="0"/>
                      <w:color w:val="000000"/>
                      <w:kern w:val="0"/>
                      <w:sz w:val="21"/>
                      <w:szCs w:val="21"/>
                      <w:u w:val="none"/>
                      <w:lang w:val="en-US" w:eastAsia="zh-CN" w:bidi="ar"/>
                    </w:rPr>
                    <w:t>(台）</w:t>
                  </w:r>
                </w:p>
              </w:tc>
              <w:tc>
                <w:tcPr>
                  <w:tcW w:w="1181" w:type="dxa"/>
                  <w:tcBorders>
                    <w:tl2br w:val="nil"/>
                    <w:tr2bl w:val="nil"/>
                  </w:tcBorders>
                  <w:shd w:val="clear" w:color="auto" w:fill="auto"/>
                  <w:vAlign w:val="center"/>
                </w:tcPr>
                <w:p w14:paraId="605E087A">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b/>
                      <w:bCs/>
                      <w:sz w:val="21"/>
                      <w:szCs w:val="21"/>
                      <w:highlight w:val="yellow"/>
                      <w:lang w:val="en-US" w:eastAsia="zh-CN"/>
                    </w:rPr>
                  </w:pPr>
                  <w:r>
                    <w:rPr>
                      <w:rFonts w:hint="default" w:ascii="Times New Roman" w:hAnsi="Times New Roman" w:eastAsia="宋体" w:cs="Times New Roman"/>
                      <w:b/>
                      <w:bCs/>
                      <w:sz w:val="21"/>
                      <w:szCs w:val="21"/>
                      <w:highlight w:val="none"/>
                      <w:lang w:val="en-US" w:eastAsia="zh-CN"/>
                    </w:rPr>
                    <w:t>备注</w:t>
                  </w:r>
                </w:p>
              </w:tc>
            </w:tr>
            <w:tr w14:paraId="3F772EBB">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049BCF44">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2401" w:type="dxa"/>
                  <w:tcBorders>
                    <w:tl2br w:val="nil"/>
                    <w:tr2bl w:val="nil"/>
                  </w:tcBorders>
                  <w:shd w:val="clear" w:color="auto" w:fill="auto"/>
                  <w:vAlign w:val="center"/>
                </w:tcPr>
                <w:p w14:paraId="075F5C98">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湿热灭菌柜</w:t>
                  </w:r>
                </w:p>
              </w:tc>
              <w:tc>
                <w:tcPr>
                  <w:tcW w:w="1620" w:type="dxa"/>
                  <w:tcBorders>
                    <w:tl2br w:val="nil"/>
                    <w:tr2bl w:val="nil"/>
                  </w:tcBorders>
                  <w:shd w:val="clear" w:color="auto" w:fill="auto"/>
                  <w:vAlign w:val="center"/>
                </w:tcPr>
                <w:p w14:paraId="79AE5412">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SGLABS-RX1S</w:t>
                  </w:r>
                </w:p>
              </w:tc>
              <w:tc>
                <w:tcPr>
                  <w:tcW w:w="1108" w:type="dxa"/>
                  <w:tcBorders>
                    <w:tl2br w:val="nil"/>
                    <w:tr2bl w:val="nil"/>
                  </w:tcBorders>
                  <w:shd w:val="clear" w:color="auto" w:fill="auto"/>
                  <w:vAlign w:val="center"/>
                </w:tcPr>
                <w:p w14:paraId="4C6691F8">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1025" w:type="dxa"/>
                  <w:tcBorders>
                    <w:tl2br w:val="nil"/>
                    <w:tr2bl w:val="nil"/>
                  </w:tcBorders>
                  <w:vAlign w:val="center"/>
                </w:tcPr>
                <w:p w14:paraId="7087D4E4">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3</w:t>
                  </w:r>
                </w:p>
              </w:tc>
              <w:tc>
                <w:tcPr>
                  <w:tcW w:w="1144" w:type="dxa"/>
                  <w:tcBorders>
                    <w:tl2br w:val="nil"/>
                    <w:tr2bl w:val="nil"/>
                  </w:tcBorders>
                  <w:shd w:val="clear" w:color="auto" w:fill="auto"/>
                  <w:vAlign w:val="center"/>
                </w:tcPr>
                <w:p w14:paraId="5587AA15">
                  <w:pPr>
                    <w:jc w:val="center"/>
                    <w:rPr>
                      <w:rFonts w:hint="default" w:ascii="Times New Roman" w:hAnsi="Times New Roman" w:eastAsia="宋体" w:cs="Times New Roman"/>
                      <w:sz w:val="21"/>
                      <w:szCs w:val="21"/>
                      <w:highlight w:val="yellow"/>
                      <w:lang w:val="en-US" w:eastAsia="zh-CN"/>
                    </w:rPr>
                  </w:pPr>
                  <w:r>
                    <w:rPr>
                      <w:rFonts w:hint="eastAsia" w:ascii="Times New Roman" w:hAnsi="Times New Roman" w:eastAsia="宋体" w:cs="Times New Roman"/>
                      <w:sz w:val="21"/>
                      <w:szCs w:val="21"/>
                      <w:highlight w:val="none"/>
                      <w:lang w:val="en-US" w:eastAsia="zh-CN"/>
                    </w:rPr>
                    <w:t>增加2</w:t>
                  </w:r>
                </w:p>
              </w:tc>
              <w:tc>
                <w:tcPr>
                  <w:tcW w:w="1181" w:type="dxa"/>
                  <w:vMerge w:val="restart"/>
                  <w:tcBorders>
                    <w:tl2br w:val="nil"/>
                    <w:tr2bl w:val="nil"/>
                  </w:tcBorders>
                  <w:shd w:val="clear" w:color="auto" w:fill="auto"/>
                  <w:vAlign w:val="center"/>
                </w:tcPr>
                <w:p w14:paraId="11E1E1DF">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eastAsia" w:cs="Times New Roman"/>
                      <w:b w:val="0"/>
                      <w:bCs w:val="0"/>
                      <w:color w:val="auto"/>
                      <w:sz w:val="21"/>
                      <w:szCs w:val="21"/>
                      <w:highlight w:val="none"/>
                      <w:u w:val="none"/>
                      <w:lang w:val="en-US" w:eastAsia="zh-CN"/>
                    </w:rPr>
                  </w:pPr>
                  <w:r>
                    <w:rPr>
                      <w:rFonts w:hint="eastAsia" w:cs="Times New Roman"/>
                      <w:b w:val="0"/>
                      <w:bCs w:val="0"/>
                      <w:color w:val="auto"/>
                      <w:sz w:val="21"/>
                      <w:szCs w:val="21"/>
                      <w:highlight w:val="none"/>
                      <w:u w:val="none"/>
                      <w:lang w:val="en-US" w:eastAsia="zh-CN"/>
                    </w:rPr>
                    <w:t>现有实验设备根据实际实验室需求减少。</w:t>
                  </w:r>
                </w:p>
                <w:p w14:paraId="389368BB">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i w:val="0"/>
                      <w:iCs w:val="0"/>
                      <w:color w:val="000000"/>
                      <w:kern w:val="0"/>
                      <w:sz w:val="21"/>
                      <w:szCs w:val="21"/>
                      <w:u w:val="none"/>
                      <w:lang w:val="en-US" w:eastAsia="zh-CN" w:bidi="ar"/>
                    </w:rPr>
                  </w:pPr>
                  <w:r>
                    <w:rPr>
                      <w:rFonts w:hint="eastAsia" w:cs="Times New Roman"/>
                      <w:b w:val="0"/>
                      <w:bCs w:val="0"/>
                      <w:color w:val="auto"/>
                      <w:sz w:val="21"/>
                      <w:szCs w:val="21"/>
                      <w:highlight w:val="none"/>
                      <w:u w:val="none"/>
                      <w:lang w:val="en-US" w:eastAsia="zh-CN"/>
                    </w:rPr>
                    <w:t>增加设备有：</w:t>
                  </w:r>
                  <w:r>
                    <w:rPr>
                      <w:rFonts w:hint="default" w:ascii="Times New Roman" w:hAnsi="Times New Roman" w:eastAsia="宋体" w:cs="Times New Roman"/>
                      <w:i w:val="0"/>
                      <w:iCs w:val="0"/>
                      <w:color w:val="000000"/>
                      <w:kern w:val="0"/>
                      <w:sz w:val="21"/>
                      <w:szCs w:val="21"/>
                      <w:u w:val="none"/>
                      <w:lang w:val="en-US" w:eastAsia="zh-CN" w:bidi="ar"/>
                    </w:rPr>
                    <w:t>湿热灭菌柜</w:t>
                  </w:r>
                  <w:r>
                    <w:rPr>
                      <w:rFonts w:hint="eastAsia" w:ascii="Times New Roman" w:hAnsi="Times New Roman" w:eastAsia="宋体" w:cs="Times New Roman"/>
                      <w:i w:val="0"/>
                      <w:iCs w:val="0"/>
                      <w:color w:val="000000"/>
                      <w:kern w:val="0"/>
                      <w:sz w:val="21"/>
                      <w:szCs w:val="21"/>
                      <w:u w:val="none"/>
                      <w:lang w:val="en-US" w:eastAsia="zh-CN" w:bidi="ar"/>
                    </w:rPr>
                    <w:t>及</w:t>
                  </w:r>
                  <w:r>
                    <w:rPr>
                      <w:rFonts w:hint="default" w:ascii="Times New Roman" w:hAnsi="Times New Roman" w:eastAsia="宋体" w:cs="Times New Roman"/>
                      <w:i w:val="0"/>
                      <w:iCs w:val="0"/>
                      <w:color w:val="000000"/>
                      <w:kern w:val="0"/>
                      <w:sz w:val="21"/>
                      <w:szCs w:val="21"/>
                      <w:u w:val="none"/>
                      <w:lang w:val="en-US" w:eastAsia="zh-CN" w:bidi="ar"/>
                    </w:rPr>
                    <w:t>分析天平</w:t>
                  </w:r>
                  <w:r>
                    <w:rPr>
                      <w:rFonts w:hint="eastAsia" w:ascii="Times New Roman" w:hAnsi="Times New Roman" w:eastAsia="宋体" w:cs="Times New Roman"/>
                      <w:i w:val="0"/>
                      <w:iCs w:val="0"/>
                      <w:color w:val="000000"/>
                      <w:kern w:val="0"/>
                      <w:sz w:val="21"/>
                      <w:szCs w:val="21"/>
                      <w:u w:val="none"/>
                      <w:lang w:val="en-US" w:eastAsia="zh-CN" w:bidi="ar"/>
                    </w:rPr>
                    <w:t>各增加2台，</w:t>
                  </w:r>
                  <w:r>
                    <w:rPr>
                      <w:rFonts w:hint="default" w:ascii="Times New Roman" w:hAnsi="Times New Roman" w:eastAsia="宋体" w:cs="Times New Roman"/>
                      <w:i w:val="0"/>
                      <w:iCs w:val="0"/>
                      <w:color w:val="000000"/>
                      <w:kern w:val="0"/>
                      <w:sz w:val="21"/>
                      <w:szCs w:val="21"/>
                      <w:u w:val="none"/>
                      <w:lang w:val="en-US" w:eastAsia="zh-CN" w:bidi="ar"/>
                    </w:rPr>
                    <w:t>全钢通风柜</w:t>
                  </w:r>
                  <w:r>
                    <w:rPr>
                      <w:rFonts w:hint="eastAsia" w:ascii="Times New Roman" w:hAnsi="Times New Roman" w:eastAsia="宋体" w:cs="Times New Roman"/>
                      <w:i w:val="0"/>
                      <w:iCs w:val="0"/>
                      <w:color w:val="000000"/>
                      <w:kern w:val="0"/>
                      <w:sz w:val="21"/>
                      <w:szCs w:val="21"/>
                      <w:u w:val="none"/>
                      <w:lang w:val="en-US" w:eastAsia="zh-CN" w:bidi="ar"/>
                    </w:rPr>
                    <w:t>、</w:t>
                  </w:r>
                  <w:r>
                    <w:rPr>
                      <w:rFonts w:hint="default" w:ascii="Times New Roman" w:hAnsi="Times New Roman" w:eastAsia="宋体" w:cs="Times New Roman"/>
                      <w:i w:val="0"/>
                      <w:iCs w:val="0"/>
                      <w:color w:val="000000"/>
                      <w:kern w:val="0"/>
                      <w:sz w:val="21"/>
                      <w:szCs w:val="21"/>
                      <w:u w:val="none"/>
                      <w:lang w:val="en-US" w:eastAsia="zh-CN" w:bidi="ar"/>
                    </w:rPr>
                    <w:t>酶标仪</w:t>
                  </w:r>
                  <w:r>
                    <w:rPr>
                      <w:rFonts w:hint="eastAsia" w:ascii="Times New Roman" w:hAnsi="Times New Roman" w:eastAsia="宋体" w:cs="Times New Roman"/>
                      <w:i w:val="0"/>
                      <w:iCs w:val="0"/>
                      <w:color w:val="000000"/>
                      <w:kern w:val="0"/>
                      <w:sz w:val="21"/>
                      <w:szCs w:val="21"/>
                      <w:u w:val="none"/>
                      <w:lang w:val="en-US" w:eastAsia="zh-CN" w:bidi="ar"/>
                    </w:rPr>
                    <w:t>、</w:t>
                  </w:r>
                  <w:r>
                    <w:rPr>
                      <w:rFonts w:hint="default" w:ascii="Times New Roman" w:hAnsi="Times New Roman" w:eastAsia="宋体" w:cs="Times New Roman"/>
                      <w:i w:val="0"/>
                      <w:iCs w:val="0"/>
                      <w:color w:val="000000"/>
                      <w:kern w:val="0"/>
                      <w:sz w:val="21"/>
                      <w:szCs w:val="21"/>
                      <w:u w:val="none"/>
                      <w:lang w:val="en-US" w:eastAsia="zh-CN" w:bidi="ar"/>
                    </w:rPr>
                    <w:t>显微镜</w:t>
                  </w:r>
                  <w:r>
                    <w:rPr>
                      <w:rFonts w:hint="eastAsia" w:ascii="Times New Roman" w:hAnsi="Times New Roman" w:eastAsia="宋体" w:cs="Times New Roman"/>
                      <w:i w:val="0"/>
                      <w:iCs w:val="0"/>
                      <w:color w:val="000000"/>
                      <w:kern w:val="0"/>
                      <w:sz w:val="21"/>
                      <w:szCs w:val="21"/>
                      <w:u w:val="none"/>
                      <w:lang w:val="en-US" w:eastAsia="zh-CN" w:bidi="ar"/>
                    </w:rPr>
                    <w:t>及</w:t>
                  </w:r>
                  <w:r>
                    <w:rPr>
                      <w:rFonts w:hint="default" w:ascii="Times New Roman" w:hAnsi="Times New Roman" w:eastAsia="宋体" w:cs="Times New Roman"/>
                      <w:i w:val="0"/>
                      <w:iCs w:val="0"/>
                      <w:color w:val="000000"/>
                      <w:kern w:val="0"/>
                      <w:sz w:val="21"/>
                      <w:szCs w:val="21"/>
                      <w:u w:val="none"/>
                      <w:lang w:val="en-US" w:eastAsia="zh-CN" w:bidi="ar"/>
                    </w:rPr>
                    <w:t>试管恒温仪</w:t>
                  </w:r>
                  <w:r>
                    <w:rPr>
                      <w:rFonts w:hint="eastAsia" w:ascii="Times New Roman" w:hAnsi="Times New Roman" w:eastAsia="宋体" w:cs="Times New Roman"/>
                      <w:i w:val="0"/>
                      <w:iCs w:val="0"/>
                      <w:color w:val="000000"/>
                      <w:kern w:val="0"/>
                      <w:sz w:val="21"/>
                      <w:szCs w:val="21"/>
                      <w:u w:val="none"/>
                      <w:lang w:val="en-US" w:eastAsia="zh-CN" w:bidi="ar"/>
                    </w:rPr>
                    <w:t>各增加1台，</w:t>
                  </w:r>
                </w:p>
                <w:p w14:paraId="48F12821">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r>
                    <w:rPr>
                      <w:rFonts w:hint="eastAsia" w:cs="Times New Roman"/>
                      <w:b w:val="0"/>
                      <w:bCs w:val="0"/>
                      <w:color w:val="auto"/>
                      <w:sz w:val="21"/>
                      <w:szCs w:val="21"/>
                      <w:highlight w:val="none"/>
                      <w:u w:val="none"/>
                      <w:lang w:val="en-US" w:eastAsia="zh-CN"/>
                    </w:rPr>
                    <w:t>不增加污染物排放，现有实验设</w:t>
                  </w:r>
                  <w:r>
                    <w:rPr>
                      <w:rFonts w:hint="eastAsia" w:ascii="Times New Roman" w:hAnsi="Times New Roman" w:eastAsia="宋体" w:cs="Times New Roman"/>
                      <w:i w:val="0"/>
                      <w:iCs w:val="0"/>
                      <w:color w:val="000000"/>
                      <w:kern w:val="0"/>
                      <w:sz w:val="21"/>
                      <w:szCs w:val="21"/>
                      <w:u w:val="none"/>
                      <w:lang w:val="en-US" w:eastAsia="zh-CN" w:bidi="ar"/>
                    </w:rPr>
                    <w:t>备调整不影响本项目对2万批次免疫细胞药物进行质检和品控的能力。本项目为实验室项目，不涉及生产。</w:t>
                  </w:r>
                </w:p>
              </w:tc>
            </w:tr>
            <w:tr w14:paraId="116D4B3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42D9D365">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2</w:t>
                  </w:r>
                </w:p>
              </w:tc>
              <w:tc>
                <w:tcPr>
                  <w:tcW w:w="2401" w:type="dxa"/>
                  <w:tcBorders>
                    <w:tl2br w:val="nil"/>
                    <w:tr2bl w:val="nil"/>
                  </w:tcBorders>
                  <w:shd w:val="clear" w:color="auto" w:fill="auto"/>
                  <w:vAlign w:val="center"/>
                </w:tcPr>
                <w:p w14:paraId="3E2EB7D2">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生物安全柜</w:t>
                  </w:r>
                </w:p>
              </w:tc>
              <w:tc>
                <w:tcPr>
                  <w:tcW w:w="1620" w:type="dxa"/>
                  <w:tcBorders>
                    <w:tl2br w:val="nil"/>
                    <w:tr2bl w:val="nil"/>
                  </w:tcBorders>
                  <w:shd w:val="clear" w:color="auto" w:fill="auto"/>
                  <w:vAlign w:val="center"/>
                </w:tcPr>
                <w:p w14:paraId="15342F12">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1374 型</w:t>
                  </w:r>
                </w:p>
              </w:tc>
              <w:tc>
                <w:tcPr>
                  <w:tcW w:w="1108" w:type="dxa"/>
                  <w:tcBorders>
                    <w:tl2br w:val="nil"/>
                    <w:tr2bl w:val="nil"/>
                  </w:tcBorders>
                  <w:shd w:val="clear" w:color="auto" w:fill="auto"/>
                  <w:vAlign w:val="center"/>
                </w:tcPr>
                <w:p w14:paraId="527CEE64">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21</w:t>
                  </w:r>
                </w:p>
              </w:tc>
              <w:tc>
                <w:tcPr>
                  <w:tcW w:w="1025" w:type="dxa"/>
                  <w:tcBorders>
                    <w:tl2br w:val="nil"/>
                    <w:tr2bl w:val="nil"/>
                  </w:tcBorders>
                  <w:vAlign w:val="center"/>
                </w:tcPr>
                <w:p w14:paraId="486C5FD4">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14</w:t>
                  </w:r>
                </w:p>
              </w:tc>
              <w:tc>
                <w:tcPr>
                  <w:tcW w:w="1144" w:type="dxa"/>
                  <w:tcBorders>
                    <w:tl2br w:val="nil"/>
                    <w:tr2bl w:val="nil"/>
                  </w:tcBorders>
                  <w:shd w:val="clear" w:color="auto" w:fill="auto"/>
                  <w:vAlign w:val="center"/>
                </w:tcPr>
                <w:p w14:paraId="161E1ACF">
                  <w:pPr>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减少7</w:t>
                  </w:r>
                </w:p>
              </w:tc>
              <w:tc>
                <w:tcPr>
                  <w:tcW w:w="1181" w:type="dxa"/>
                  <w:vMerge w:val="continue"/>
                  <w:tcBorders>
                    <w:tl2br w:val="nil"/>
                    <w:tr2bl w:val="nil"/>
                  </w:tcBorders>
                  <w:shd w:val="clear" w:color="auto" w:fill="auto"/>
                  <w:vAlign w:val="center"/>
                </w:tcPr>
                <w:p w14:paraId="24CF4E7F">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41E1735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6891E639">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3</w:t>
                  </w:r>
                </w:p>
              </w:tc>
              <w:tc>
                <w:tcPr>
                  <w:tcW w:w="2401" w:type="dxa"/>
                  <w:tcBorders>
                    <w:tl2br w:val="nil"/>
                    <w:tr2bl w:val="nil"/>
                  </w:tcBorders>
                  <w:shd w:val="clear" w:color="auto" w:fill="auto"/>
                  <w:vAlign w:val="center"/>
                </w:tcPr>
                <w:p w14:paraId="1D6B3648">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生物安全柜</w:t>
                  </w:r>
                </w:p>
              </w:tc>
              <w:tc>
                <w:tcPr>
                  <w:tcW w:w="1620" w:type="dxa"/>
                  <w:tcBorders>
                    <w:tl2br w:val="nil"/>
                    <w:tr2bl w:val="nil"/>
                  </w:tcBorders>
                  <w:shd w:val="clear" w:color="auto" w:fill="auto"/>
                  <w:vAlign w:val="center"/>
                </w:tcPr>
                <w:p w14:paraId="7FB4EAFC">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1316 型</w:t>
                  </w:r>
                </w:p>
              </w:tc>
              <w:tc>
                <w:tcPr>
                  <w:tcW w:w="1108" w:type="dxa"/>
                  <w:tcBorders>
                    <w:tl2br w:val="nil"/>
                    <w:tr2bl w:val="nil"/>
                  </w:tcBorders>
                  <w:shd w:val="clear" w:color="auto" w:fill="auto"/>
                  <w:vAlign w:val="center"/>
                </w:tcPr>
                <w:p w14:paraId="2FBECD33">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3</w:t>
                  </w:r>
                </w:p>
              </w:tc>
              <w:tc>
                <w:tcPr>
                  <w:tcW w:w="1025" w:type="dxa"/>
                  <w:tcBorders>
                    <w:tl2br w:val="nil"/>
                    <w:tr2bl w:val="nil"/>
                  </w:tcBorders>
                  <w:vAlign w:val="center"/>
                </w:tcPr>
                <w:p w14:paraId="073EB669">
                  <w:pPr>
                    <w:jc w:val="center"/>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0</w:t>
                  </w:r>
                </w:p>
              </w:tc>
              <w:tc>
                <w:tcPr>
                  <w:tcW w:w="1144" w:type="dxa"/>
                  <w:tcBorders>
                    <w:tl2br w:val="nil"/>
                    <w:tr2bl w:val="nil"/>
                  </w:tcBorders>
                  <w:shd w:val="clear" w:color="auto" w:fill="auto"/>
                  <w:vAlign w:val="center"/>
                </w:tcPr>
                <w:p w14:paraId="3596EB47">
                  <w:pPr>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减少3</w:t>
                  </w:r>
                </w:p>
              </w:tc>
              <w:tc>
                <w:tcPr>
                  <w:tcW w:w="1181" w:type="dxa"/>
                  <w:vMerge w:val="continue"/>
                  <w:tcBorders>
                    <w:tl2br w:val="nil"/>
                    <w:tr2bl w:val="nil"/>
                  </w:tcBorders>
                  <w:shd w:val="clear" w:color="auto" w:fill="auto"/>
                  <w:vAlign w:val="center"/>
                </w:tcPr>
                <w:p w14:paraId="14C0284A">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166C6C01">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18" w:hRule="atLeast"/>
                <w:jc w:val="center"/>
              </w:trPr>
              <w:tc>
                <w:tcPr>
                  <w:tcW w:w="718" w:type="dxa"/>
                  <w:tcBorders>
                    <w:tl2br w:val="nil"/>
                    <w:tr2bl w:val="nil"/>
                  </w:tcBorders>
                  <w:shd w:val="clear" w:color="auto" w:fill="auto"/>
                  <w:vAlign w:val="center"/>
                </w:tcPr>
                <w:p w14:paraId="7909AB2C">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4</w:t>
                  </w:r>
                </w:p>
              </w:tc>
              <w:tc>
                <w:tcPr>
                  <w:tcW w:w="2401" w:type="dxa"/>
                  <w:tcBorders>
                    <w:tl2br w:val="nil"/>
                    <w:tr2bl w:val="nil"/>
                  </w:tcBorders>
                  <w:shd w:val="clear" w:color="auto" w:fill="auto"/>
                  <w:vAlign w:val="center"/>
                </w:tcPr>
                <w:p w14:paraId="4E4FE5A5">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超净台</w:t>
                  </w:r>
                </w:p>
              </w:tc>
              <w:tc>
                <w:tcPr>
                  <w:tcW w:w="1620" w:type="dxa"/>
                  <w:tcBorders>
                    <w:tl2br w:val="nil"/>
                    <w:tr2bl w:val="nil"/>
                  </w:tcBorders>
                  <w:shd w:val="clear" w:color="auto" w:fill="auto"/>
                  <w:vAlign w:val="center"/>
                </w:tcPr>
                <w:p w14:paraId="277EA88E">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双人</w:t>
                  </w:r>
                </w:p>
              </w:tc>
              <w:tc>
                <w:tcPr>
                  <w:tcW w:w="1108" w:type="dxa"/>
                  <w:tcBorders>
                    <w:tl2br w:val="nil"/>
                    <w:tr2bl w:val="nil"/>
                  </w:tcBorders>
                  <w:shd w:val="clear" w:color="auto" w:fill="auto"/>
                  <w:vAlign w:val="center"/>
                </w:tcPr>
                <w:p w14:paraId="4CE0F01F">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1025" w:type="dxa"/>
                  <w:tcBorders>
                    <w:tl2br w:val="nil"/>
                    <w:tr2bl w:val="nil"/>
                  </w:tcBorders>
                  <w:vAlign w:val="center"/>
                </w:tcPr>
                <w:p w14:paraId="47A0DB61">
                  <w:pPr>
                    <w:jc w:val="center"/>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0</w:t>
                  </w:r>
                </w:p>
              </w:tc>
              <w:tc>
                <w:tcPr>
                  <w:tcW w:w="1144" w:type="dxa"/>
                  <w:tcBorders>
                    <w:tl2br w:val="nil"/>
                    <w:tr2bl w:val="nil"/>
                  </w:tcBorders>
                  <w:shd w:val="clear" w:color="auto" w:fill="auto"/>
                  <w:vAlign w:val="center"/>
                </w:tcPr>
                <w:p w14:paraId="3897852A">
                  <w:pPr>
                    <w:jc w:val="center"/>
                    <w:rPr>
                      <w:rFonts w:hint="default" w:ascii="Times New Roman" w:hAnsi="Times New Roman" w:eastAsia="宋体" w:cs="Times New Roman"/>
                      <w:color w:val="auto"/>
                      <w:sz w:val="21"/>
                      <w:szCs w:val="21"/>
                      <w:highlight w:val="none"/>
                      <w:lang w:val="en-US"/>
                    </w:rPr>
                  </w:pPr>
                  <w:r>
                    <w:rPr>
                      <w:rFonts w:hint="eastAsia" w:ascii="Times New Roman" w:hAnsi="Times New Roman" w:eastAsia="宋体" w:cs="Times New Roman"/>
                      <w:color w:val="auto"/>
                      <w:sz w:val="21"/>
                      <w:szCs w:val="21"/>
                      <w:highlight w:val="none"/>
                      <w:lang w:val="en-US" w:eastAsia="zh-CN"/>
                    </w:rPr>
                    <w:t>减少1</w:t>
                  </w:r>
                </w:p>
              </w:tc>
              <w:tc>
                <w:tcPr>
                  <w:tcW w:w="1181" w:type="dxa"/>
                  <w:vMerge w:val="continue"/>
                  <w:tcBorders>
                    <w:tl2br w:val="nil"/>
                    <w:tr2bl w:val="nil"/>
                  </w:tcBorders>
                  <w:shd w:val="clear" w:color="auto" w:fill="auto"/>
                  <w:vAlign w:val="center"/>
                </w:tcPr>
                <w:p w14:paraId="625259B2">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792DA73C">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10A4042D">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2401" w:type="dxa"/>
                  <w:tcBorders>
                    <w:tl2br w:val="nil"/>
                    <w:tr2bl w:val="nil"/>
                  </w:tcBorders>
                  <w:shd w:val="clear" w:color="auto" w:fill="auto"/>
                  <w:vAlign w:val="center"/>
                </w:tcPr>
                <w:p w14:paraId="5E07145F">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隔离器</w:t>
                  </w:r>
                </w:p>
              </w:tc>
              <w:tc>
                <w:tcPr>
                  <w:tcW w:w="1620" w:type="dxa"/>
                  <w:tcBorders>
                    <w:tl2br w:val="nil"/>
                    <w:tr2bl w:val="nil"/>
                  </w:tcBorders>
                  <w:shd w:val="clear" w:color="auto" w:fill="auto"/>
                  <w:vAlign w:val="center"/>
                </w:tcPr>
                <w:p w14:paraId="67FFBA5A">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双人</w:t>
                  </w:r>
                </w:p>
              </w:tc>
              <w:tc>
                <w:tcPr>
                  <w:tcW w:w="1108" w:type="dxa"/>
                  <w:tcBorders>
                    <w:tl2br w:val="nil"/>
                    <w:tr2bl w:val="nil"/>
                  </w:tcBorders>
                  <w:shd w:val="clear" w:color="auto" w:fill="auto"/>
                  <w:vAlign w:val="center"/>
                </w:tcPr>
                <w:p w14:paraId="029E01D2">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2</w:t>
                  </w:r>
                </w:p>
              </w:tc>
              <w:tc>
                <w:tcPr>
                  <w:tcW w:w="1025" w:type="dxa"/>
                  <w:tcBorders>
                    <w:tl2br w:val="nil"/>
                    <w:tr2bl w:val="nil"/>
                  </w:tcBorders>
                  <w:vAlign w:val="center"/>
                </w:tcPr>
                <w:p w14:paraId="1E9E3109">
                  <w:pPr>
                    <w:jc w:val="center"/>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0</w:t>
                  </w:r>
                </w:p>
              </w:tc>
              <w:tc>
                <w:tcPr>
                  <w:tcW w:w="1144" w:type="dxa"/>
                  <w:tcBorders>
                    <w:tl2br w:val="nil"/>
                    <w:tr2bl w:val="nil"/>
                  </w:tcBorders>
                  <w:shd w:val="clear" w:color="auto" w:fill="auto"/>
                  <w:vAlign w:val="center"/>
                </w:tcPr>
                <w:p w14:paraId="170FA5C3">
                  <w:pPr>
                    <w:jc w:val="center"/>
                    <w:rPr>
                      <w:rFonts w:hint="default" w:ascii="Times New Roman" w:hAnsi="Times New Roman" w:eastAsia="宋体" w:cs="Times New Roman"/>
                      <w:color w:val="auto"/>
                      <w:sz w:val="21"/>
                      <w:szCs w:val="21"/>
                      <w:highlight w:val="none"/>
                      <w:lang w:val="en-US"/>
                    </w:rPr>
                  </w:pPr>
                  <w:r>
                    <w:rPr>
                      <w:rFonts w:hint="eastAsia" w:ascii="Times New Roman" w:hAnsi="Times New Roman" w:eastAsia="宋体" w:cs="Times New Roman"/>
                      <w:color w:val="auto"/>
                      <w:sz w:val="21"/>
                      <w:szCs w:val="21"/>
                      <w:highlight w:val="none"/>
                      <w:lang w:val="en-US" w:eastAsia="zh-CN"/>
                    </w:rPr>
                    <w:t>减少2</w:t>
                  </w:r>
                </w:p>
              </w:tc>
              <w:tc>
                <w:tcPr>
                  <w:tcW w:w="1181" w:type="dxa"/>
                  <w:vMerge w:val="continue"/>
                  <w:tcBorders>
                    <w:tl2br w:val="nil"/>
                    <w:tr2bl w:val="nil"/>
                  </w:tcBorders>
                  <w:shd w:val="clear" w:color="auto" w:fill="auto"/>
                  <w:vAlign w:val="center"/>
                </w:tcPr>
                <w:p w14:paraId="72012911">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7B51AE1F">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07D04DBF">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6</w:t>
                  </w:r>
                </w:p>
              </w:tc>
              <w:tc>
                <w:tcPr>
                  <w:tcW w:w="2401" w:type="dxa"/>
                  <w:tcBorders>
                    <w:tl2br w:val="nil"/>
                    <w:tr2bl w:val="nil"/>
                  </w:tcBorders>
                  <w:shd w:val="clear" w:color="auto" w:fill="auto"/>
                  <w:vAlign w:val="center"/>
                </w:tcPr>
                <w:p w14:paraId="6316C0C7">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CO</w:t>
                  </w:r>
                  <w:r>
                    <w:rPr>
                      <w:rFonts w:hint="default" w:ascii="Times New Roman" w:hAnsi="Times New Roman" w:eastAsia="宋体" w:cs="Times New Roman"/>
                      <w:i w:val="0"/>
                      <w:iCs w:val="0"/>
                      <w:color w:val="000000"/>
                      <w:kern w:val="0"/>
                      <w:sz w:val="21"/>
                      <w:szCs w:val="21"/>
                      <w:u w:val="none"/>
                      <w:vertAlign w:val="subscript"/>
                      <w:lang w:val="en-US" w:eastAsia="zh-CN" w:bidi="ar"/>
                    </w:rPr>
                    <w:t>2</w:t>
                  </w:r>
                  <w:r>
                    <w:rPr>
                      <w:rFonts w:hint="default" w:ascii="Times New Roman" w:hAnsi="Times New Roman" w:eastAsia="宋体" w:cs="Times New Roman"/>
                      <w:i w:val="0"/>
                      <w:iCs w:val="0"/>
                      <w:color w:val="000000"/>
                      <w:kern w:val="0"/>
                      <w:sz w:val="21"/>
                      <w:szCs w:val="21"/>
                      <w:u w:val="none"/>
                      <w:lang w:val="en-US" w:eastAsia="zh-CN" w:bidi="ar"/>
                    </w:rPr>
                    <w:t xml:space="preserve"> 培养箱</w:t>
                  </w:r>
                </w:p>
              </w:tc>
              <w:tc>
                <w:tcPr>
                  <w:tcW w:w="1620" w:type="dxa"/>
                  <w:tcBorders>
                    <w:tl2br w:val="nil"/>
                    <w:tr2bl w:val="nil"/>
                  </w:tcBorders>
                  <w:shd w:val="clear" w:color="auto" w:fill="auto"/>
                  <w:vAlign w:val="center"/>
                </w:tcPr>
                <w:p w14:paraId="010390C8">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4111</w:t>
                  </w:r>
                </w:p>
              </w:tc>
              <w:tc>
                <w:tcPr>
                  <w:tcW w:w="1108" w:type="dxa"/>
                  <w:tcBorders>
                    <w:tl2br w:val="nil"/>
                    <w:tr2bl w:val="nil"/>
                  </w:tcBorders>
                  <w:shd w:val="clear" w:color="auto" w:fill="auto"/>
                  <w:vAlign w:val="center"/>
                </w:tcPr>
                <w:p w14:paraId="7B4CCFFF">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11</w:t>
                  </w:r>
                </w:p>
              </w:tc>
              <w:tc>
                <w:tcPr>
                  <w:tcW w:w="1025" w:type="dxa"/>
                  <w:tcBorders>
                    <w:tl2br w:val="nil"/>
                    <w:tr2bl w:val="nil"/>
                  </w:tcBorders>
                  <w:vAlign w:val="center"/>
                </w:tcPr>
                <w:p w14:paraId="0510A0B8">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5</w:t>
                  </w:r>
                </w:p>
              </w:tc>
              <w:tc>
                <w:tcPr>
                  <w:tcW w:w="1144" w:type="dxa"/>
                  <w:tcBorders>
                    <w:tl2br w:val="nil"/>
                    <w:tr2bl w:val="nil"/>
                  </w:tcBorders>
                  <w:shd w:val="clear" w:color="auto" w:fill="auto"/>
                  <w:vAlign w:val="center"/>
                </w:tcPr>
                <w:p w14:paraId="55F2A851">
                  <w:pPr>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减少6</w:t>
                  </w:r>
                </w:p>
              </w:tc>
              <w:tc>
                <w:tcPr>
                  <w:tcW w:w="1181" w:type="dxa"/>
                  <w:vMerge w:val="continue"/>
                  <w:tcBorders>
                    <w:tl2br w:val="nil"/>
                    <w:tr2bl w:val="nil"/>
                  </w:tcBorders>
                  <w:shd w:val="clear" w:color="auto" w:fill="auto"/>
                  <w:vAlign w:val="center"/>
                </w:tcPr>
                <w:p w14:paraId="47CF2F09">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239D3BE8">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2B5F9D8F">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7</w:t>
                  </w:r>
                </w:p>
              </w:tc>
              <w:tc>
                <w:tcPr>
                  <w:tcW w:w="2401" w:type="dxa"/>
                  <w:tcBorders>
                    <w:tl2br w:val="nil"/>
                    <w:tr2bl w:val="nil"/>
                  </w:tcBorders>
                  <w:shd w:val="clear" w:color="auto" w:fill="auto"/>
                  <w:vAlign w:val="center"/>
                </w:tcPr>
                <w:p w14:paraId="4AD62BBC">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-80℃冰箱</w:t>
                  </w:r>
                </w:p>
              </w:tc>
              <w:tc>
                <w:tcPr>
                  <w:tcW w:w="1620" w:type="dxa"/>
                  <w:tcBorders>
                    <w:tl2br w:val="nil"/>
                    <w:tr2bl w:val="nil"/>
                  </w:tcBorders>
                  <w:shd w:val="clear" w:color="auto" w:fill="auto"/>
                  <w:vAlign w:val="center"/>
                </w:tcPr>
                <w:p w14:paraId="5899A54B">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994</w:t>
                  </w:r>
                </w:p>
              </w:tc>
              <w:tc>
                <w:tcPr>
                  <w:tcW w:w="1108" w:type="dxa"/>
                  <w:tcBorders>
                    <w:tl2br w:val="nil"/>
                    <w:tr2bl w:val="nil"/>
                  </w:tcBorders>
                  <w:shd w:val="clear" w:color="auto" w:fill="auto"/>
                  <w:vAlign w:val="center"/>
                </w:tcPr>
                <w:p w14:paraId="4E4CF7A6">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1025" w:type="dxa"/>
                  <w:tcBorders>
                    <w:tl2br w:val="nil"/>
                    <w:tr2bl w:val="nil"/>
                  </w:tcBorders>
                  <w:vAlign w:val="center"/>
                </w:tcPr>
                <w:p w14:paraId="3B778C7D">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1</w:t>
                  </w:r>
                </w:p>
              </w:tc>
              <w:tc>
                <w:tcPr>
                  <w:tcW w:w="1144" w:type="dxa"/>
                  <w:tcBorders>
                    <w:tl2br w:val="nil"/>
                    <w:tr2bl w:val="nil"/>
                  </w:tcBorders>
                  <w:shd w:val="clear" w:color="auto" w:fill="auto"/>
                  <w:vAlign w:val="center"/>
                </w:tcPr>
                <w:p w14:paraId="3114BD13">
                  <w:pPr>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减少4</w:t>
                  </w:r>
                </w:p>
              </w:tc>
              <w:tc>
                <w:tcPr>
                  <w:tcW w:w="1181" w:type="dxa"/>
                  <w:vMerge w:val="continue"/>
                  <w:tcBorders>
                    <w:tl2br w:val="nil"/>
                    <w:tr2bl w:val="nil"/>
                  </w:tcBorders>
                  <w:shd w:val="clear" w:color="auto" w:fill="auto"/>
                  <w:vAlign w:val="center"/>
                </w:tcPr>
                <w:p w14:paraId="507BAF9F">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7EADAC1C">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10F41808">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8</w:t>
                  </w:r>
                </w:p>
              </w:tc>
              <w:tc>
                <w:tcPr>
                  <w:tcW w:w="2401" w:type="dxa"/>
                  <w:tcBorders>
                    <w:tl2br w:val="nil"/>
                    <w:tr2bl w:val="nil"/>
                  </w:tcBorders>
                  <w:shd w:val="clear" w:color="auto" w:fill="auto"/>
                  <w:vAlign w:val="center"/>
                </w:tcPr>
                <w:p w14:paraId="6CA4D570">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离心机</w:t>
                  </w:r>
                </w:p>
              </w:tc>
              <w:tc>
                <w:tcPr>
                  <w:tcW w:w="1620" w:type="dxa"/>
                  <w:tcBorders>
                    <w:tl2br w:val="nil"/>
                    <w:tr2bl w:val="nil"/>
                  </w:tcBorders>
                  <w:shd w:val="clear" w:color="auto" w:fill="auto"/>
                  <w:vAlign w:val="center"/>
                </w:tcPr>
                <w:p w14:paraId="1E580943">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ST8R</w:t>
                  </w:r>
                </w:p>
              </w:tc>
              <w:tc>
                <w:tcPr>
                  <w:tcW w:w="1108" w:type="dxa"/>
                  <w:tcBorders>
                    <w:tl2br w:val="nil"/>
                    <w:tr2bl w:val="nil"/>
                  </w:tcBorders>
                  <w:shd w:val="clear" w:color="auto" w:fill="auto"/>
                  <w:vAlign w:val="center"/>
                </w:tcPr>
                <w:p w14:paraId="11E009C7">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12</w:t>
                  </w:r>
                </w:p>
              </w:tc>
              <w:tc>
                <w:tcPr>
                  <w:tcW w:w="1025" w:type="dxa"/>
                  <w:tcBorders>
                    <w:tl2br w:val="nil"/>
                    <w:tr2bl w:val="nil"/>
                  </w:tcBorders>
                  <w:vAlign w:val="center"/>
                </w:tcPr>
                <w:p w14:paraId="2D2D8033">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6</w:t>
                  </w:r>
                </w:p>
              </w:tc>
              <w:tc>
                <w:tcPr>
                  <w:tcW w:w="1144" w:type="dxa"/>
                  <w:tcBorders>
                    <w:tl2br w:val="nil"/>
                    <w:tr2bl w:val="nil"/>
                  </w:tcBorders>
                  <w:shd w:val="clear" w:color="auto" w:fill="auto"/>
                  <w:vAlign w:val="center"/>
                </w:tcPr>
                <w:p w14:paraId="54FF8C4F">
                  <w:pPr>
                    <w:jc w:val="center"/>
                    <w:rPr>
                      <w:rFonts w:hint="default" w:ascii="Times New Roman" w:hAnsi="Times New Roman" w:eastAsia="宋体" w:cs="Times New Roman"/>
                      <w:color w:val="auto"/>
                      <w:sz w:val="21"/>
                      <w:szCs w:val="21"/>
                      <w:highlight w:val="none"/>
                      <w:lang w:val="en-US"/>
                    </w:rPr>
                  </w:pPr>
                  <w:r>
                    <w:rPr>
                      <w:rFonts w:hint="eastAsia" w:ascii="Times New Roman" w:hAnsi="Times New Roman" w:eastAsia="宋体" w:cs="Times New Roman"/>
                      <w:color w:val="auto"/>
                      <w:sz w:val="21"/>
                      <w:szCs w:val="21"/>
                      <w:highlight w:val="none"/>
                      <w:lang w:val="en-US" w:eastAsia="zh-CN"/>
                    </w:rPr>
                    <w:t>减少6</w:t>
                  </w:r>
                </w:p>
              </w:tc>
              <w:tc>
                <w:tcPr>
                  <w:tcW w:w="1181" w:type="dxa"/>
                  <w:vMerge w:val="continue"/>
                  <w:tcBorders>
                    <w:tl2br w:val="nil"/>
                    <w:tr2bl w:val="nil"/>
                  </w:tcBorders>
                  <w:shd w:val="clear" w:color="auto" w:fill="auto"/>
                  <w:vAlign w:val="center"/>
                </w:tcPr>
                <w:p w14:paraId="08418F02">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330965A6">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567A3AD6">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9</w:t>
                  </w:r>
                </w:p>
              </w:tc>
              <w:tc>
                <w:tcPr>
                  <w:tcW w:w="2401" w:type="dxa"/>
                  <w:tcBorders>
                    <w:tl2br w:val="nil"/>
                    <w:tr2bl w:val="nil"/>
                  </w:tcBorders>
                  <w:shd w:val="clear" w:color="auto" w:fill="auto"/>
                  <w:vAlign w:val="center"/>
                </w:tcPr>
                <w:p w14:paraId="149B63C2">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2-8℃冰箱</w:t>
                  </w:r>
                </w:p>
              </w:tc>
              <w:tc>
                <w:tcPr>
                  <w:tcW w:w="1620" w:type="dxa"/>
                  <w:tcBorders>
                    <w:tl2br w:val="nil"/>
                    <w:tr2bl w:val="nil"/>
                  </w:tcBorders>
                  <w:shd w:val="clear" w:color="auto" w:fill="auto"/>
                  <w:vAlign w:val="center"/>
                </w:tcPr>
                <w:p w14:paraId="690FB08B">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YC370</w:t>
                  </w:r>
                </w:p>
              </w:tc>
              <w:tc>
                <w:tcPr>
                  <w:tcW w:w="1108" w:type="dxa"/>
                  <w:tcBorders>
                    <w:tl2br w:val="nil"/>
                    <w:tr2bl w:val="nil"/>
                  </w:tcBorders>
                  <w:shd w:val="clear" w:color="auto" w:fill="auto"/>
                  <w:vAlign w:val="center"/>
                </w:tcPr>
                <w:p w14:paraId="6687F140">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14</w:t>
                  </w:r>
                </w:p>
              </w:tc>
              <w:tc>
                <w:tcPr>
                  <w:tcW w:w="1025" w:type="dxa"/>
                  <w:tcBorders>
                    <w:tl2br w:val="nil"/>
                    <w:tr2bl w:val="nil"/>
                  </w:tcBorders>
                  <w:vAlign w:val="center"/>
                </w:tcPr>
                <w:p w14:paraId="193E9165">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13</w:t>
                  </w:r>
                </w:p>
              </w:tc>
              <w:tc>
                <w:tcPr>
                  <w:tcW w:w="1144" w:type="dxa"/>
                  <w:tcBorders>
                    <w:tl2br w:val="nil"/>
                    <w:tr2bl w:val="nil"/>
                  </w:tcBorders>
                  <w:shd w:val="clear" w:color="auto" w:fill="auto"/>
                  <w:vAlign w:val="center"/>
                </w:tcPr>
                <w:p w14:paraId="1FE66BB5">
                  <w:pPr>
                    <w:jc w:val="center"/>
                    <w:rPr>
                      <w:rFonts w:hint="default" w:ascii="Times New Roman" w:hAnsi="Times New Roman" w:eastAsia="宋体" w:cs="Times New Roman"/>
                      <w:color w:val="auto"/>
                      <w:sz w:val="21"/>
                      <w:szCs w:val="21"/>
                      <w:highlight w:val="none"/>
                      <w:lang w:val="en-US"/>
                    </w:rPr>
                  </w:pPr>
                  <w:r>
                    <w:rPr>
                      <w:rFonts w:hint="eastAsia" w:ascii="Times New Roman" w:hAnsi="Times New Roman" w:eastAsia="宋体" w:cs="Times New Roman"/>
                      <w:color w:val="auto"/>
                      <w:sz w:val="21"/>
                      <w:szCs w:val="21"/>
                      <w:highlight w:val="none"/>
                      <w:lang w:val="en-US" w:eastAsia="zh-CN"/>
                    </w:rPr>
                    <w:t>减少1</w:t>
                  </w:r>
                </w:p>
              </w:tc>
              <w:tc>
                <w:tcPr>
                  <w:tcW w:w="1181" w:type="dxa"/>
                  <w:vMerge w:val="continue"/>
                  <w:tcBorders>
                    <w:tl2br w:val="nil"/>
                    <w:tr2bl w:val="nil"/>
                  </w:tcBorders>
                  <w:shd w:val="clear" w:color="auto" w:fill="auto"/>
                  <w:vAlign w:val="center"/>
                </w:tcPr>
                <w:p w14:paraId="07363B06">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7F2619F2">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76DBCC2E">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2401" w:type="dxa"/>
                  <w:tcBorders>
                    <w:tl2br w:val="nil"/>
                    <w:tr2bl w:val="nil"/>
                  </w:tcBorders>
                  <w:shd w:val="clear" w:color="auto" w:fill="auto"/>
                  <w:vAlign w:val="center"/>
                </w:tcPr>
                <w:p w14:paraId="06F78D70">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生化培养箱</w:t>
                  </w:r>
                </w:p>
              </w:tc>
              <w:tc>
                <w:tcPr>
                  <w:tcW w:w="1620" w:type="dxa"/>
                  <w:tcBorders>
                    <w:tl2br w:val="nil"/>
                    <w:tr2bl w:val="nil"/>
                  </w:tcBorders>
                  <w:shd w:val="clear" w:color="auto" w:fill="auto"/>
                  <w:vAlign w:val="center"/>
                </w:tcPr>
                <w:p w14:paraId="6D8C3BBB">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SPX-80</w:t>
                  </w:r>
                </w:p>
              </w:tc>
              <w:tc>
                <w:tcPr>
                  <w:tcW w:w="1108" w:type="dxa"/>
                  <w:tcBorders>
                    <w:tl2br w:val="nil"/>
                    <w:tr2bl w:val="nil"/>
                  </w:tcBorders>
                  <w:shd w:val="clear" w:color="auto" w:fill="auto"/>
                  <w:vAlign w:val="center"/>
                </w:tcPr>
                <w:p w14:paraId="48879AC6">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2</w:t>
                  </w:r>
                </w:p>
              </w:tc>
              <w:tc>
                <w:tcPr>
                  <w:tcW w:w="1025" w:type="dxa"/>
                  <w:tcBorders>
                    <w:tl2br w:val="nil"/>
                    <w:tr2bl w:val="nil"/>
                  </w:tcBorders>
                  <w:vAlign w:val="center"/>
                </w:tcPr>
                <w:p w14:paraId="66898155">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1</w:t>
                  </w:r>
                </w:p>
              </w:tc>
              <w:tc>
                <w:tcPr>
                  <w:tcW w:w="1144" w:type="dxa"/>
                  <w:tcBorders>
                    <w:tl2br w:val="nil"/>
                    <w:tr2bl w:val="nil"/>
                  </w:tcBorders>
                  <w:shd w:val="clear" w:color="auto" w:fill="auto"/>
                  <w:vAlign w:val="center"/>
                </w:tcPr>
                <w:p w14:paraId="58056448">
                  <w:pPr>
                    <w:jc w:val="center"/>
                    <w:rPr>
                      <w:rFonts w:hint="default" w:ascii="Times New Roman" w:hAnsi="Times New Roman" w:eastAsia="宋体" w:cs="Times New Roman"/>
                      <w:color w:val="auto"/>
                      <w:sz w:val="21"/>
                      <w:szCs w:val="21"/>
                      <w:highlight w:val="none"/>
                    </w:rPr>
                  </w:pPr>
                  <w:r>
                    <w:rPr>
                      <w:rFonts w:hint="eastAsia" w:ascii="Times New Roman" w:hAnsi="Times New Roman" w:eastAsia="宋体" w:cs="Times New Roman"/>
                      <w:color w:val="auto"/>
                      <w:sz w:val="21"/>
                      <w:szCs w:val="21"/>
                      <w:highlight w:val="none"/>
                      <w:lang w:val="en-US" w:eastAsia="zh-CN"/>
                    </w:rPr>
                    <w:t>减少1</w:t>
                  </w:r>
                </w:p>
              </w:tc>
              <w:tc>
                <w:tcPr>
                  <w:tcW w:w="1181" w:type="dxa"/>
                  <w:vMerge w:val="continue"/>
                  <w:tcBorders>
                    <w:tl2br w:val="nil"/>
                    <w:tr2bl w:val="nil"/>
                  </w:tcBorders>
                  <w:shd w:val="clear" w:color="auto" w:fill="auto"/>
                  <w:vAlign w:val="center"/>
                </w:tcPr>
                <w:p w14:paraId="6C3DCC82">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7195C83B">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1A88ECDC">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11</w:t>
                  </w:r>
                </w:p>
              </w:tc>
              <w:tc>
                <w:tcPr>
                  <w:tcW w:w="2401" w:type="dxa"/>
                  <w:tcBorders>
                    <w:tl2br w:val="nil"/>
                    <w:tr2bl w:val="nil"/>
                  </w:tcBorders>
                  <w:shd w:val="clear" w:color="auto" w:fill="auto"/>
                  <w:vAlign w:val="center"/>
                </w:tcPr>
                <w:p w14:paraId="55543CA3">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高速冷冻离心机</w:t>
                  </w:r>
                </w:p>
              </w:tc>
              <w:tc>
                <w:tcPr>
                  <w:tcW w:w="1620" w:type="dxa"/>
                  <w:tcBorders>
                    <w:tl2br w:val="nil"/>
                    <w:tr2bl w:val="nil"/>
                  </w:tcBorders>
                  <w:shd w:val="clear" w:color="auto" w:fill="auto"/>
                  <w:vAlign w:val="center"/>
                </w:tcPr>
                <w:p w14:paraId="1EC79848">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Pico17</w:t>
                  </w:r>
                </w:p>
              </w:tc>
              <w:tc>
                <w:tcPr>
                  <w:tcW w:w="1108" w:type="dxa"/>
                  <w:tcBorders>
                    <w:tl2br w:val="nil"/>
                    <w:tr2bl w:val="nil"/>
                  </w:tcBorders>
                  <w:shd w:val="clear" w:color="auto" w:fill="auto"/>
                  <w:vAlign w:val="center"/>
                </w:tcPr>
                <w:p w14:paraId="03EB0C12">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4</w:t>
                  </w:r>
                </w:p>
              </w:tc>
              <w:tc>
                <w:tcPr>
                  <w:tcW w:w="1025" w:type="dxa"/>
                  <w:tcBorders>
                    <w:tl2br w:val="nil"/>
                    <w:tr2bl w:val="nil"/>
                  </w:tcBorders>
                  <w:vAlign w:val="center"/>
                </w:tcPr>
                <w:p w14:paraId="1D5ECD9D">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1</w:t>
                  </w:r>
                </w:p>
              </w:tc>
              <w:tc>
                <w:tcPr>
                  <w:tcW w:w="1144" w:type="dxa"/>
                  <w:tcBorders>
                    <w:tl2br w:val="nil"/>
                    <w:tr2bl w:val="nil"/>
                  </w:tcBorders>
                  <w:shd w:val="clear" w:color="auto" w:fill="auto"/>
                  <w:vAlign w:val="center"/>
                </w:tcPr>
                <w:p w14:paraId="6A444733">
                  <w:pPr>
                    <w:jc w:val="center"/>
                    <w:rPr>
                      <w:rFonts w:hint="default" w:ascii="Times New Roman" w:hAnsi="Times New Roman" w:eastAsia="宋体" w:cs="Times New Roman"/>
                      <w:color w:val="auto"/>
                      <w:sz w:val="21"/>
                      <w:szCs w:val="21"/>
                      <w:highlight w:val="none"/>
                      <w:lang w:val="en-US"/>
                    </w:rPr>
                  </w:pPr>
                  <w:r>
                    <w:rPr>
                      <w:rFonts w:hint="eastAsia" w:ascii="Times New Roman" w:hAnsi="Times New Roman" w:eastAsia="宋体" w:cs="Times New Roman"/>
                      <w:color w:val="auto"/>
                      <w:sz w:val="21"/>
                      <w:szCs w:val="21"/>
                      <w:highlight w:val="none"/>
                      <w:lang w:val="en-US" w:eastAsia="zh-CN"/>
                    </w:rPr>
                    <w:t>减少3</w:t>
                  </w:r>
                </w:p>
              </w:tc>
              <w:tc>
                <w:tcPr>
                  <w:tcW w:w="1181" w:type="dxa"/>
                  <w:vMerge w:val="continue"/>
                  <w:tcBorders>
                    <w:tl2br w:val="nil"/>
                    <w:tr2bl w:val="nil"/>
                  </w:tcBorders>
                  <w:shd w:val="clear" w:color="auto" w:fill="auto"/>
                  <w:vAlign w:val="center"/>
                </w:tcPr>
                <w:p w14:paraId="55685583">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1E563659">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5FD155D5">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12</w:t>
                  </w:r>
                </w:p>
              </w:tc>
              <w:tc>
                <w:tcPr>
                  <w:tcW w:w="2401" w:type="dxa"/>
                  <w:tcBorders>
                    <w:tl2br w:val="nil"/>
                    <w:tr2bl w:val="nil"/>
                  </w:tcBorders>
                  <w:shd w:val="clear" w:color="auto" w:fill="auto"/>
                  <w:vAlign w:val="center"/>
                </w:tcPr>
                <w:p w14:paraId="0A7732A8">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分析天平</w:t>
                  </w:r>
                </w:p>
              </w:tc>
              <w:tc>
                <w:tcPr>
                  <w:tcW w:w="1620" w:type="dxa"/>
                  <w:tcBorders>
                    <w:tl2br w:val="nil"/>
                    <w:tr2bl w:val="nil"/>
                  </w:tcBorders>
                  <w:shd w:val="clear" w:color="auto" w:fill="auto"/>
                  <w:vAlign w:val="center"/>
                </w:tcPr>
                <w:p w14:paraId="238E15B4">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AS220.R2</w:t>
                  </w:r>
                </w:p>
              </w:tc>
              <w:tc>
                <w:tcPr>
                  <w:tcW w:w="1108" w:type="dxa"/>
                  <w:tcBorders>
                    <w:tl2br w:val="nil"/>
                    <w:tr2bl w:val="nil"/>
                  </w:tcBorders>
                  <w:shd w:val="clear" w:color="auto" w:fill="auto"/>
                  <w:vAlign w:val="center"/>
                </w:tcPr>
                <w:p w14:paraId="5891007B">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1025" w:type="dxa"/>
                  <w:tcBorders>
                    <w:tl2br w:val="nil"/>
                    <w:tr2bl w:val="nil"/>
                  </w:tcBorders>
                  <w:vAlign w:val="center"/>
                </w:tcPr>
                <w:p w14:paraId="7BE11C82">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3</w:t>
                  </w:r>
                </w:p>
              </w:tc>
              <w:tc>
                <w:tcPr>
                  <w:tcW w:w="1144" w:type="dxa"/>
                  <w:tcBorders>
                    <w:tl2br w:val="nil"/>
                    <w:tr2bl w:val="nil"/>
                  </w:tcBorders>
                  <w:shd w:val="clear" w:color="auto" w:fill="auto"/>
                  <w:vAlign w:val="center"/>
                </w:tcPr>
                <w:p w14:paraId="3FAAF099">
                  <w:pPr>
                    <w:jc w:val="center"/>
                    <w:rPr>
                      <w:rFonts w:hint="default" w:ascii="Times New Roman" w:hAnsi="Times New Roman" w:eastAsia="宋体" w:cs="Times New Roman"/>
                      <w:color w:val="auto"/>
                      <w:sz w:val="21"/>
                      <w:szCs w:val="21"/>
                      <w:highlight w:val="none"/>
                    </w:rPr>
                  </w:pPr>
                  <w:r>
                    <w:rPr>
                      <w:rFonts w:hint="eastAsia" w:ascii="Times New Roman" w:hAnsi="Times New Roman" w:eastAsia="宋体" w:cs="Times New Roman"/>
                      <w:sz w:val="21"/>
                      <w:szCs w:val="21"/>
                      <w:highlight w:val="none"/>
                      <w:lang w:val="en-US" w:eastAsia="zh-CN"/>
                    </w:rPr>
                    <w:t>增加2</w:t>
                  </w:r>
                </w:p>
              </w:tc>
              <w:tc>
                <w:tcPr>
                  <w:tcW w:w="1181" w:type="dxa"/>
                  <w:vMerge w:val="continue"/>
                  <w:tcBorders>
                    <w:tl2br w:val="nil"/>
                    <w:tr2bl w:val="nil"/>
                  </w:tcBorders>
                  <w:shd w:val="clear" w:color="auto" w:fill="auto"/>
                  <w:vAlign w:val="center"/>
                </w:tcPr>
                <w:p w14:paraId="2D56D23D">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5E9BAC31">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52802569">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13</w:t>
                  </w:r>
                </w:p>
              </w:tc>
              <w:tc>
                <w:tcPr>
                  <w:tcW w:w="2401" w:type="dxa"/>
                  <w:tcBorders>
                    <w:tl2br w:val="nil"/>
                    <w:tr2bl w:val="nil"/>
                  </w:tcBorders>
                  <w:shd w:val="clear" w:color="auto" w:fill="auto"/>
                  <w:vAlign w:val="center"/>
                </w:tcPr>
                <w:p w14:paraId="0AB6510B">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洁净传递窗</w:t>
                  </w:r>
                </w:p>
              </w:tc>
              <w:tc>
                <w:tcPr>
                  <w:tcW w:w="1620" w:type="dxa"/>
                  <w:tcBorders>
                    <w:tl2br w:val="nil"/>
                    <w:tr2bl w:val="nil"/>
                  </w:tcBorders>
                  <w:shd w:val="clear" w:color="auto" w:fill="auto"/>
                  <w:vAlign w:val="center"/>
                </w:tcPr>
                <w:p w14:paraId="68A54A44">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LCTW3-040040</w:t>
                  </w:r>
                </w:p>
              </w:tc>
              <w:tc>
                <w:tcPr>
                  <w:tcW w:w="1108" w:type="dxa"/>
                  <w:tcBorders>
                    <w:tl2br w:val="nil"/>
                    <w:tr2bl w:val="nil"/>
                  </w:tcBorders>
                  <w:shd w:val="clear" w:color="auto" w:fill="auto"/>
                  <w:vAlign w:val="center"/>
                </w:tcPr>
                <w:p w14:paraId="2C28323C">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16</w:t>
                  </w:r>
                </w:p>
              </w:tc>
              <w:tc>
                <w:tcPr>
                  <w:tcW w:w="1025" w:type="dxa"/>
                  <w:tcBorders>
                    <w:tl2br w:val="nil"/>
                    <w:tr2bl w:val="nil"/>
                  </w:tcBorders>
                  <w:vAlign w:val="center"/>
                </w:tcPr>
                <w:p w14:paraId="57415821">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8</w:t>
                  </w:r>
                </w:p>
              </w:tc>
              <w:tc>
                <w:tcPr>
                  <w:tcW w:w="1144" w:type="dxa"/>
                  <w:tcBorders>
                    <w:tl2br w:val="nil"/>
                    <w:tr2bl w:val="nil"/>
                  </w:tcBorders>
                  <w:shd w:val="clear" w:color="auto" w:fill="auto"/>
                  <w:vAlign w:val="center"/>
                </w:tcPr>
                <w:p w14:paraId="39804C21">
                  <w:pPr>
                    <w:jc w:val="center"/>
                    <w:rPr>
                      <w:rFonts w:hint="default" w:ascii="Times New Roman" w:hAnsi="Times New Roman" w:eastAsia="宋体" w:cs="Times New Roman"/>
                      <w:color w:val="auto"/>
                      <w:sz w:val="21"/>
                      <w:szCs w:val="21"/>
                      <w:highlight w:val="none"/>
                      <w:lang w:val="en-US"/>
                    </w:rPr>
                  </w:pPr>
                  <w:r>
                    <w:rPr>
                      <w:rFonts w:hint="eastAsia" w:ascii="Times New Roman" w:hAnsi="Times New Roman" w:eastAsia="宋体" w:cs="Times New Roman"/>
                      <w:color w:val="auto"/>
                      <w:sz w:val="21"/>
                      <w:szCs w:val="21"/>
                      <w:highlight w:val="none"/>
                      <w:lang w:val="en-US" w:eastAsia="zh-CN"/>
                    </w:rPr>
                    <w:t>减少8</w:t>
                  </w:r>
                </w:p>
              </w:tc>
              <w:tc>
                <w:tcPr>
                  <w:tcW w:w="1181" w:type="dxa"/>
                  <w:vMerge w:val="continue"/>
                  <w:tcBorders>
                    <w:tl2br w:val="nil"/>
                    <w:tr2bl w:val="nil"/>
                  </w:tcBorders>
                  <w:shd w:val="clear" w:color="auto" w:fill="auto"/>
                  <w:vAlign w:val="center"/>
                </w:tcPr>
                <w:p w14:paraId="6FEA4417">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258CAE0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3E1F7BBA">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14</w:t>
                  </w:r>
                </w:p>
              </w:tc>
              <w:tc>
                <w:tcPr>
                  <w:tcW w:w="2401" w:type="dxa"/>
                  <w:tcBorders>
                    <w:tl2br w:val="nil"/>
                    <w:tr2bl w:val="nil"/>
                  </w:tcBorders>
                  <w:shd w:val="clear" w:color="auto" w:fill="auto"/>
                  <w:vAlign w:val="center"/>
                </w:tcPr>
                <w:p w14:paraId="43C41BED">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立式灭菌柜</w:t>
                  </w:r>
                </w:p>
              </w:tc>
              <w:tc>
                <w:tcPr>
                  <w:tcW w:w="1620" w:type="dxa"/>
                  <w:tcBorders>
                    <w:tl2br w:val="nil"/>
                    <w:tr2bl w:val="nil"/>
                  </w:tcBorders>
                  <w:shd w:val="clear" w:color="auto" w:fill="auto"/>
                  <w:vAlign w:val="center"/>
                </w:tcPr>
                <w:p w14:paraId="60FECBD8">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YXQ-110A</w:t>
                  </w:r>
                </w:p>
              </w:tc>
              <w:tc>
                <w:tcPr>
                  <w:tcW w:w="1108" w:type="dxa"/>
                  <w:tcBorders>
                    <w:tl2br w:val="nil"/>
                    <w:tr2bl w:val="nil"/>
                  </w:tcBorders>
                  <w:shd w:val="clear" w:color="auto" w:fill="auto"/>
                  <w:vAlign w:val="center"/>
                </w:tcPr>
                <w:p w14:paraId="257F463E">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1025" w:type="dxa"/>
                  <w:tcBorders>
                    <w:tl2br w:val="nil"/>
                    <w:tr2bl w:val="nil"/>
                  </w:tcBorders>
                  <w:vAlign w:val="center"/>
                </w:tcPr>
                <w:p w14:paraId="46694C72">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b/>
                      <w:bCs/>
                      <w:i w:val="0"/>
                      <w:iCs w:val="0"/>
                      <w:color w:val="auto"/>
                      <w:kern w:val="0"/>
                      <w:sz w:val="21"/>
                      <w:szCs w:val="21"/>
                      <w:highlight w:val="none"/>
                      <w:u w:val="none"/>
                      <w:lang w:val="en-US" w:eastAsia="zh-CN" w:bidi="ar"/>
                    </w:rPr>
                    <w:t>4</w:t>
                  </w:r>
                </w:p>
              </w:tc>
              <w:tc>
                <w:tcPr>
                  <w:tcW w:w="1144" w:type="dxa"/>
                  <w:tcBorders>
                    <w:tl2br w:val="nil"/>
                    <w:tr2bl w:val="nil"/>
                  </w:tcBorders>
                  <w:shd w:val="clear" w:color="auto" w:fill="auto"/>
                  <w:vAlign w:val="center"/>
                </w:tcPr>
                <w:p w14:paraId="12A30981">
                  <w:pPr>
                    <w:jc w:val="center"/>
                    <w:rPr>
                      <w:rFonts w:hint="default" w:ascii="Times New Roman" w:hAnsi="Times New Roman" w:eastAsia="宋体" w:cs="Times New Roman"/>
                      <w:color w:val="auto"/>
                      <w:sz w:val="21"/>
                      <w:szCs w:val="21"/>
                      <w:highlight w:val="none"/>
                      <w:lang w:val="en-US"/>
                    </w:rPr>
                  </w:pPr>
                  <w:r>
                    <w:rPr>
                      <w:rFonts w:hint="eastAsia" w:ascii="Times New Roman" w:hAnsi="Times New Roman" w:eastAsia="宋体" w:cs="Times New Roman"/>
                      <w:color w:val="auto"/>
                      <w:sz w:val="21"/>
                      <w:szCs w:val="21"/>
                      <w:highlight w:val="none"/>
                      <w:lang w:val="en-US" w:eastAsia="zh-CN"/>
                    </w:rPr>
                    <w:t>减少1</w:t>
                  </w:r>
                </w:p>
              </w:tc>
              <w:tc>
                <w:tcPr>
                  <w:tcW w:w="1181" w:type="dxa"/>
                  <w:vMerge w:val="continue"/>
                  <w:tcBorders>
                    <w:tl2br w:val="nil"/>
                    <w:tr2bl w:val="nil"/>
                  </w:tcBorders>
                  <w:shd w:val="clear" w:color="auto" w:fill="auto"/>
                  <w:vAlign w:val="center"/>
                </w:tcPr>
                <w:p w14:paraId="3EF04379">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336F21A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2B10EB9B">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15</w:t>
                  </w:r>
                </w:p>
              </w:tc>
              <w:tc>
                <w:tcPr>
                  <w:tcW w:w="2401" w:type="dxa"/>
                  <w:tcBorders>
                    <w:tl2br w:val="nil"/>
                    <w:tr2bl w:val="nil"/>
                  </w:tcBorders>
                  <w:shd w:val="clear" w:color="auto" w:fill="auto"/>
                  <w:vAlign w:val="center"/>
                </w:tcPr>
                <w:p w14:paraId="61E926E0">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干式恒温器</w:t>
                  </w:r>
                </w:p>
              </w:tc>
              <w:tc>
                <w:tcPr>
                  <w:tcW w:w="1620" w:type="dxa"/>
                  <w:tcBorders>
                    <w:tl2br w:val="nil"/>
                    <w:tr2bl w:val="nil"/>
                  </w:tcBorders>
                  <w:shd w:val="clear" w:color="auto" w:fill="auto"/>
                  <w:vAlign w:val="center"/>
                </w:tcPr>
                <w:p w14:paraId="5B3AA236">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DTC-100</w:t>
                  </w:r>
                </w:p>
              </w:tc>
              <w:tc>
                <w:tcPr>
                  <w:tcW w:w="1108" w:type="dxa"/>
                  <w:tcBorders>
                    <w:tl2br w:val="nil"/>
                    <w:tr2bl w:val="nil"/>
                  </w:tcBorders>
                  <w:shd w:val="clear" w:color="auto" w:fill="auto"/>
                  <w:vAlign w:val="center"/>
                </w:tcPr>
                <w:p w14:paraId="082F7351">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1025" w:type="dxa"/>
                  <w:tcBorders>
                    <w:tl2br w:val="nil"/>
                    <w:tr2bl w:val="nil"/>
                  </w:tcBorders>
                  <w:vAlign w:val="center"/>
                </w:tcPr>
                <w:p w14:paraId="71FE0F01">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3</w:t>
                  </w:r>
                </w:p>
              </w:tc>
              <w:tc>
                <w:tcPr>
                  <w:tcW w:w="1144" w:type="dxa"/>
                  <w:tcBorders>
                    <w:tl2br w:val="nil"/>
                    <w:tr2bl w:val="nil"/>
                  </w:tcBorders>
                  <w:shd w:val="clear" w:color="auto" w:fill="auto"/>
                  <w:vAlign w:val="center"/>
                </w:tcPr>
                <w:p w14:paraId="3A2F63C4">
                  <w:pPr>
                    <w:jc w:val="center"/>
                    <w:rPr>
                      <w:rFonts w:hint="default" w:ascii="Times New Roman" w:hAnsi="Times New Roman" w:eastAsia="宋体" w:cs="Times New Roman"/>
                      <w:color w:val="auto"/>
                      <w:sz w:val="21"/>
                      <w:szCs w:val="21"/>
                      <w:highlight w:val="none"/>
                      <w:lang w:val="en-US"/>
                    </w:rPr>
                  </w:pPr>
                  <w:r>
                    <w:rPr>
                      <w:rFonts w:hint="eastAsia" w:ascii="Times New Roman" w:hAnsi="Times New Roman" w:eastAsia="宋体" w:cs="Times New Roman"/>
                      <w:color w:val="auto"/>
                      <w:sz w:val="21"/>
                      <w:szCs w:val="21"/>
                      <w:highlight w:val="none"/>
                      <w:lang w:val="en-US" w:eastAsia="zh-CN"/>
                    </w:rPr>
                    <w:t>减少2</w:t>
                  </w:r>
                </w:p>
              </w:tc>
              <w:tc>
                <w:tcPr>
                  <w:tcW w:w="1181" w:type="dxa"/>
                  <w:vMerge w:val="continue"/>
                  <w:tcBorders>
                    <w:tl2br w:val="nil"/>
                    <w:tr2bl w:val="nil"/>
                  </w:tcBorders>
                  <w:shd w:val="clear" w:color="auto" w:fill="auto"/>
                  <w:vAlign w:val="center"/>
                </w:tcPr>
                <w:p w14:paraId="3F23F614">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661722A1">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6F3E3225">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16</w:t>
                  </w:r>
                </w:p>
              </w:tc>
              <w:tc>
                <w:tcPr>
                  <w:tcW w:w="2401" w:type="dxa"/>
                  <w:tcBorders>
                    <w:tl2br w:val="nil"/>
                    <w:tr2bl w:val="nil"/>
                  </w:tcBorders>
                  <w:shd w:val="clear" w:color="auto" w:fill="auto"/>
                  <w:vAlign w:val="center"/>
                </w:tcPr>
                <w:p w14:paraId="75DB31DC">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旋涡混合器</w:t>
                  </w:r>
                </w:p>
              </w:tc>
              <w:tc>
                <w:tcPr>
                  <w:tcW w:w="1620" w:type="dxa"/>
                  <w:tcBorders>
                    <w:tl2br w:val="nil"/>
                    <w:tr2bl w:val="nil"/>
                  </w:tcBorders>
                  <w:shd w:val="clear" w:color="auto" w:fill="auto"/>
                  <w:vAlign w:val="center"/>
                </w:tcPr>
                <w:p w14:paraId="4A52C5EA">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VORTEX-2</w:t>
                  </w:r>
                </w:p>
              </w:tc>
              <w:tc>
                <w:tcPr>
                  <w:tcW w:w="1108" w:type="dxa"/>
                  <w:tcBorders>
                    <w:tl2br w:val="nil"/>
                    <w:tr2bl w:val="nil"/>
                  </w:tcBorders>
                  <w:shd w:val="clear" w:color="auto" w:fill="auto"/>
                  <w:vAlign w:val="center"/>
                </w:tcPr>
                <w:p w14:paraId="6661C797">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18</w:t>
                  </w:r>
                </w:p>
              </w:tc>
              <w:tc>
                <w:tcPr>
                  <w:tcW w:w="1025" w:type="dxa"/>
                  <w:tcBorders>
                    <w:tl2br w:val="nil"/>
                    <w:tr2bl w:val="nil"/>
                  </w:tcBorders>
                  <w:vAlign w:val="center"/>
                </w:tcPr>
                <w:p w14:paraId="17A11888">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16</w:t>
                  </w:r>
                </w:p>
              </w:tc>
              <w:tc>
                <w:tcPr>
                  <w:tcW w:w="1144" w:type="dxa"/>
                  <w:tcBorders>
                    <w:tl2br w:val="nil"/>
                    <w:tr2bl w:val="nil"/>
                  </w:tcBorders>
                  <w:shd w:val="clear" w:color="auto" w:fill="auto"/>
                  <w:vAlign w:val="center"/>
                </w:tcPr>
                <w:p w14:paraId="28709512">
                  <w:pPr>
                    <w:jc w:val="center"/>
                    <w:rPr>
                      <w:rFonts w:hint="default" w:ascii="Times New Roman" w:hAnsi="Times New Roman" w:eastAsia="宋体" w:cs="Times New Roman"/>
                      <w:color w:val="auto"/>
                      <w:sz w:val="21"/>
                      <w:szCs w:val="21"/>
                      <w:highlight w:val="none"/>
                      <w:lang w:val="en-US"/>
                    </w:rPr>
                  </w:pPr>
                  <w:r>
                    <w:rPr>
                      <w:rFonts w:hint="eastAsia" w:ascii="Times New Roman" w:hAnsi="Times New Roman" w:eastAsia="宋体" w:cs="Times New Roman"/>
                      <w:color w:val="auto"/>
                      <w:sz w:val="21"/>
                      <w:szCs w:val="21"/>
                      <w:highlight w:val="none"/>
                      <w:lang w:val="en-US" w:eastAsia="zh-CN"/>
                    </w:rPr>
                    <w:t>减少2</w:t>
                  </w:r>
                </w:p>
              </w:tc>
              <w:tc>
                <w:tcPr>
                  <w:tcW w:w="1181" w:type="dxa"/>
                  <w:vMerge w:val="continue"/>
                  <w:tcBorders>
                    <w:tl2br w:val="nil"/>
                    <w:tr2bl w:val="nil"/>
                  </w:tcBorders>
                  <w:shd w:val="clear" w:color="auto" w:fill="auto"/>
                  <w:vAlign w:val="center"/>
                </w:tcPr>
                <w:p w14:paraId="3657CDF3">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43BD0D22">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093BD70E">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17</w:t>
                  </w:r>
                </w:p>
              </w:tc>
              <w:tc>
                <w:tcPr>
                  <w:tcW w:w="2401" w:type="dxa"/>
                  <w:tcBorders>
                    <w:tl2br w:val="nil"/>
                    <w:tr2bl w:val="nil"/>
                  </w:tcBorders>
                  <w:shd w:val="clear" w:color="auto" w:fill="auto"/>
                  <w:vAlign w:val="center"/>
                </w:tcPr>
                <w:p w14:paraId="0BBC8979">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实验室用纯化水系统</w:t>
                  </w:r>
                </w:p>
              </w:tc>
              <w:tc>
                <w:tcPr>
                  <w:tcW w:w="1620" w:type="dxa"/>
                  <w:tcBorders>
                    <w:tl2br w:val="nil"/>
                    <w:tr2bl w:val="nil"/>
                  </w:tcBorders>
                  <w:shd w:val="clear" w:color="auto" w:fill="auto"/>
                  <w:vAlign w:val="center"/>
                </w:tcPr>
                <w:p w14:paraId="3933F29C">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BEST-S15UF</w:t>
                  </w:r>
                </w:p>
              </w:tc>
              <w:tc>
                <w:tcPr>
                  <w:tcW w:w="1108" w:type="dxa"/>
                  <w:tcBorders>
                    <w:tl2br w:val="nil"/>
                    <w:tr2bl w:val="nil"/>
                  </w:tcBorders>
                  <w:shd w:val="clear" w:color="auto" w:fill="auto"/>
                  <w:vAlign w:val="center"/>
                </w:tcPr>
                <w:p w14:paraId="00FA4001">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1025" w:type="dxa"/>
                  <w:tcBorders>
                    <w:tl2br w:val="nil"/>
                    <w:tr2bl w:val="nil"/>
                  </w:tcBorders>
                  <w:vAlign w:val="center"/>
                </w:tcPr>
                <w:p w14:paraId="24EDF96D">
                  <w:pPr>
                    <w:jc w:val="center"/>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0</w:t>
                  </w:r>
                </w:p>
              </w:tc>
              <w:tc>
                <w:tcPr>
                  <w:tcW w:w="1144" w:type="dxa"/>
                  <w:tcBorders>
                    <w:tl2br w:val="nil"/>
                    <w:tr2bl w:val="nil"/>
                  </w:tcBorders>
                  <w:shd w:val="clear" w:color="auto" w:fill="auto"/>
                  <w:vAlign w:val="center"/>
                </w:tcPr>
                <w:p w14:paraId="7FA52AD6">
                  <w:pPr>
                    <w:jc w:val="center"/>
                    <w:rPr>
                      <w:rFonts w:hint="default" w:ascii="Times New Roman" w:hAnsi="Times New Roman" w:eastAsia="宋体" w:cs="Times New Roman"/>
                      <w:color w:val="auto"/>
                      <w:sz w:val="21"/>
                      <w:szCs w:val="21"/>
                      <w:highlight w:val="none"/>
                      <w:lang w:val="en-US"/>
                    </w:rPr>
                  </w:pPr>
                  <w:r>
                    <w:rPr>
                      <w:rFonts w:hint="eastAsia" w:ascii="Times New Roman" w:hAnsi="Times New Roman" w:eastAsia="宋体" w:cs="Times New Roman"/>
                      <w:color w:val="auto"/>
                      <w:sz w:val="21"/>
                      <w:szCs w:val="21"/>
                      <w:highlight w:val="none"/>
                      <w:lang w:val="en-US" w:eastAsia="zh-CN"/>
                    </w:rPr>
                    <w:t>减少1</w:t>
                  </w:r>
                </w:p>
              </w:tc>
              <w:tc>
                <w:tcPr>
                  <w:tcW w:w="1181" w:type="dxa"/>
                  <w:vMerge w:val="continue"/>
                  <w:tcBorders>
                    <w:tl2br w:val="nil"/>
                    <w:tr2bl w:val="nil"/>
                  </w:tcBorders>
                  <w:shd w:val="clear" w:color="auto" w:fill="auto"/>
                  <w:vAlign w:val="center"/>
                </w:tcPr>
                <w:p w14:paraId="4B885AEB">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7BD1FEF9">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05D0FA9A">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18</w:t>
                  </w:r>
                </w:p>
              </w:tc>
              <w:tc>
                <w:tcPr>
                  <w:tcW w:w="2401" w:type="dxa"/>
                  <w:tcBorders>
                    <w:tl2br w:val="nil"/>
                    <w:tr2bl w:val="nil"/>
                  </w:tcBorders>
                  <w:shd w:val="clear" w:color="auto" w:fill="auto"/>
                  <w:vAlign w:val="center"/>
                </w:tcPr>
                <w:p w14:paraId="72090D9A">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en-US"/>
                    </w:rPr>
                  </w:pPr>
                  <w:r>
                    <w:rPr>
                      <w:rFonts w:hint="default" w:ascii="Times New Roman" w:hAnsi="Times New Roman" w:eastAsia="宋体" w:cs="Times New Roman"/>
                      <w:i w:val="0"/>
                      <w:iCs w:val="0"/>
                      <w:color w:val="000000"/>
                      <w:kern w:val="0"/>
                      <w:sz w:val="21"/>
                      <w:szCs w:val="21"/>
                      <w:u w:val="none"/>
                      <w:lang w:val="en-US" w:eastAsia="zh-CN" w:bidi="ar"/>
                    </w:rPr>
                    <w:t>实时荧光定量PCR 仪</w:t>
                  </w:r>
                </w:p>
              </w:tc>
              <w:tc>
                <w:tcPr>
                  <w:tcW w:w="1620" w:type="dxa"/>
                  <w:tcBorders>
                    <w:tl2br w:val="nil"/>
                    <w:tr2bl w:val="nil"/>
                  </w:tcBorders>
                  <w:shd w:val="clear" w:color="auto" w:fill="auto"/>
                  <w:vAlign w:val="center"/>
                </w:tcPr>
                <w:p w14:paraId="3CFD9D9D">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StepOnePlus</w:t>
                  </w:r>
                </w:p>
              </w:tc>
              <w:tc>
                <w:tcPr>
                  <w:tcW w:w="1108" w:type="dxa"/>
                  <w:tcBorders>
                    <w:tl2br w:val="nil"/>
                    <w:tr2bl w:val="nil"/>
                  </w:tcBorders>
                  <w:shd w:val="clear" w:color="auto" w:fill="auto"/>
                  <w:vAlign w:val="center"/>
                </w:tcPr>
                <w:p w14:paraId="7C2AD7B6">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4</w:t>
                  </w:r>
                </w:p>
              </w:tc>
              <w:tc>
                <w:tcPr>
                  <w:tcW w:w="1025" w:type="dxa"/>
                  <w:tcBorders>
                    <w:tl2br w:val="nil"/>
                    <w:tr2bl w:val="nil"/>
                  </w:tcBorders>
                  <w:vAlign w:val="center"/>
                </w:tcPr>
                <w:p w14:paraId="587623D4">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1</w:t>
                  </w:r>
                </w:p>
              </w:tc>
              <w:tc>
                <w:tcPr>
                  <w:tcW w:w="1144" w:type="dxa"/>
                  <w:tcBorders>
                    <w:tl2br w:val="nil"/>
                    <w:tr2bl w:val="nil"/>
                  </w:tcBorders>
                  <w:shd w:val="clear" w:color="auto" w:fill="auto"/>
                  <w:vAlign w:val="center"/>
                </w:tcPr>
                <w:p w14:paraId="42D66CB7">
                  <w:pPr>
                    <w:jc w:val="center"/>
                    <w:rPr>
                      <w:rFonts w:hint="default" w:ascii="Times New Roman" w:hAnsi="Times New Roman" w:eastAsia="宋体" w:cs="Times New Roman"/>
                      <w:color w:val="auto"/>
                      <w:sz w:val="21"/>
                      <w:szCs w:val="21"/>
                      <w:highlight w:val="none"/>
                    </w:rPr>
                  </w:pPr>
                  <w:r>
                    <w:rPr>
                      <w:rFonts w:hint="eastAsia" w:ascii="Times New Roman" w:hAnsi="Times New Roman" w:eastAsia="宋体" w:cs="Times New Roman"/>
                      <w:color w:val="auto"/>
                      <w:sz w:val="21"/>
                      <w:szCs w:val="21"/>
                      <w:highlight w:val="none"/>
                      <w:lang w:val="en-US" w:eastAsia="zh-CN"/>
                    </w:rPr>
                    <w:t>减少3</w:t>
                  </w:r>
                </w:p>
              </w:tc>
              <w:tc>
                <w:tcPr>
                  <w:tcW w:w="1181" w:type="dxa"/>
                  <w:vMerge w:val="continue"/>
                  <w:tcBorders>
                    <w:tl2br w:val="nil"/>
                    <w:tr2bl w:val="nil"/>
                  </w:tcBorders>
                  <w:shd w:val="clear" w:color="auto" w:fill="auto"/>
                  <w:vAlign w:val="center"/>
                </w:tcPr>
                <w:p w14:paraId="43F1E696">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71568577">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1F51DE48">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19</w:t>
                  </w:r>
                </w:p>
              </w:tc>
              <w:tc>
                <w:tcPr>
                  <w:tcW w:w="2401" w:type="dxa"/>
                  <w:tcBorders>
                    <w:tl2br w:val="nil"/>
                    <w:tr2bl w:val="nil"/>
                  </w:tcBorders>
                  <w:shd w:val="clear" w:color="auto" w:fill="auto"/>
                  <w:vAlign w:val="center"/>
                </w:tcPr>
                <w:p w14:paraId="673B2389">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en-US"/>
                    </w:rPr>
                  </w:pPr>
                  <w:r>
                    <w:rPr>
                      <w:rFonts w:hint="default" w:ascii="Times New Roman" w:hAnsi="Times New Roman" w:eastAsia="宋体" w:cs="Times New Roman"/>
                      <w:i w:val="0"/>
                      <w:iCs w:val="0"/>
                      <w:color w:val="000000"/>
                      <w:kern w:val="0"/>
                      <w:sz w:val="21"/>
                      <w:szCs w:val="21"/>
                      <w:u w:val="none"/>
                      <w:lang w:val="en-US" w:eastAsia="zh-CN" w:bidi="ar"/>
                    </w:rPr>
                    <w:t>水浴锅</w:t>
                  </w:r>
                </w:p>
              </w:tc>
              <w:tc>
                <w:tcPr>
                  <w:tcW w:w="1620" w:type="dxa"/>
                  <w:tcBorders>
                    <w:tl2br w:val="nil"/>
                    <w:tr2bl w:val="nil"/>
                  </w:tcBorders>
                  <w:shd w:val="clear" w:color="auto" w:fill="auto"/>
                  <w:vAlign w:val="center"/>
                </w:tcPr>
                <w:p w14:paraId="56BFB7CB">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w:t>
                  </w:r>
                </w:p>
              </w:tc>
              <w:tc>
                <w:tcPr>
                  <w:tcW w:w="1108" w:type="dxa"/>
                  <w:tcBorders>
                    <w:tl2br w:val="nil"/>
                    <w:tr2bl w:val="nil"/>
                  </w:tcBorders>
                  <w:shd w:val="clear" w:color="auto" w:fill="auto"/>
                  <w:vAlign w:val="center"/>
                </w:tcPr>
                <w:p w14:paraId="131C1DC0">
                  <w:pPr>
                    <w:keepNext w:val="0"/>
                    <w:keepLines w:val="0"/>
                    <w:widowControl/>
                    <w:suppressLineNumbers w:val="0"/>
                    <w:jc w:val="center"/>
                    <w:textAlignment w:val="center"/>
                    <w:rPr>
                      <w:rFonts w:hint="default" w:ascii="Times New Roman" w:hAnsi="Times New Roman" w:eastAsia="宋体" w:cs="Times New Roman"/>
                      <w:kern w:val="2"/>
                      <w:sz w:val="21"/>
                      <w:szCs w:val="21"/>
                      <w:highlight w:val="yellow"/>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1025" w:type="dxa"/>
                  <w:tcBorders>
                    <w:tl2br w:val="nil"/>
                    <w:tr2bl w:val="nil"/>
                  </w:tcBorders>
                  <w:vAlign w:val="center"/>
                </w:tcPr>
                <w:p w14:paraId="72EF81C2">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1</w:t>
                  </w:r>
                </w:p>
              </w:tc>
              <w:tc>
                <w:tcPr>
                  <w:tcW w:w="1144" w:type="dxa"/>
                  <w:tcBorders>
                    <w:tl2br w:val="nil"/>
                    <w:tr2bl w:val="nil"/>
                  </w:tcBorders>
                  <w:shd w:val="clear" w:color="auto" w:fill="auto"/>
                  <w:vAlign w:val="center"/>
                </w:tcPr>
                <w:p w14:paraId="00D551E4">
                  <w:pPr>
                    <w:jc w:val="center"/>
                    <w:rPr>
                      <w:rFonts w:hint="default" w:ascii="Times New Roman" w:hAnsi="Times New Roman" w:eastAsia="宋体" w:cs="Times New Roman"/>
                      <w:color w:val="auto"/>
                      <w:sz w:val="21"/>
                      <w:szCs w:val="21"/>
                      <w:highlight w:val="none"/>
                      <w:lang w:val="en-US"/>
                    </w:rPr>
                  </w:pPr>
                  <w:r>
                    <w:rPr>
                      <w:rFonts w:hint="eastAsia" w:ascii="Times New Roman" w:hAnsi="Times New Roman" w:eastAsia="宋体" w:cs="Times New Roman"/>
                      <w:color w:val="auto"/>
                      <w:sz w:val="21"/>
                      <w:szCs w:val="21"/>
                      <w:highlight w:val="none"/>
                      <w:lang w:val="en-US" w:eastAsia="zh-CN"/>
                    </w:rPr>
                    <w:t>减少9</w:t>
                  </w:r>
                </w:p>
              </w:tc>
              <w:tc>
                <w:tcPr>
                  <w:tcW w:w="1181" w:type="dxa"/>
                  <w:vMerge w:val="continue"/>
                  <w:tcBorders>
                    <w:tl2br w:val="nil"/>
                    <w:tr2bl w:val="nil"/>
                  </w:tcBorders>
                  <w:shd w:val="clear" w:color="auto" w:fill="auto"/>
                  <w:vAlign w:val="center"/>
                </w:tcPr>
                <w:p w14:paraId="480DBD16">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469C601A">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198DDC11">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2401" w:type="dxa"/>
                  <w:tcBorders>
                    <w:tl2br w:val="nil"/>
                    <w:tr2bl w:val="nil"/>
                  </w:tcBorders>
                  <w:shd w:val="clear" w:color="auto" w:fill="auto"/>
                  <w:vAlign w:val="center"/>
                </w:tcPr>
                <w:p w14:paraId="56DDD3D6">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全钢通风柜</w:t>
                  </w:r>
                </w:p>
              </w:tc>
              <w:tc>
                <w:tcPr>
                  <w:tcW w:w="1620" w:type="dxa"/>
                  <w:tcBorders>
                    <w:tl2br w:val="nil"/>
                    <w:tr2bl w:val="nil"/>
                  </w:tcBorders>
                  <w:shd w:val="clear" w:color="auto" w:fill="auto"/>
                  <w:vAlign w:val="center"/>
                </w:tcPr>
                <w:p w14:paraId="2645399B">
                  <w:pPr>
                    <w:jc w:val="center"/>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w:t>
                  </w:r>
                </w:p>
              </w:tc>
              <w:tc>
                <w:tcPr>
                  <w:tcW w:w="1108" w:type="dxa"/>
                  <w:tcBorders>
                    <w:tl2br w:val="nil"/>
                    <w:tr2bl w:val="nil"/>
                  </w:tcBorders>
                  <w:shd w:val="clear" w:color="auto" w:fill="auto"/>
                  <w:vAlign w:val="center"/>
                </w:tcPr>
                <w:p w14:paraId="00662B2C">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kern w:val="2"/>
                      <w:sz w:val="21"/>
                      <w:szCs w:val="21"/>
                      <w:highlight w:val="none"/>
                      <w:lang w:val="en-US" w:eastAsia="zh-CN" w:bidi="ar-SA"/>
                    </w:rPr>
                    <w:t>0</w:t>
                  </w:r>
                </w:p>
              </w:tc>
              <w:tc>
                <w:tcPr>
                  <w:tcW w:w="1025" w:type="dxa"/>
                  <w:tcBorders>
                    <w:tl2br w:val="nil"/>
                    <w:tr2bl w:val="nil"/>
                  </w:tcBorders>
                  <w:vAlign w:val="center"/>
                </w:tcPr>
                <w:p w14:paraId="5583B33F">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1</w:t>
                  </w:r>
                </w:p>
              </w:tc>
              <w:tc>
                <w:tcPr>
                  <w:tcW w:w="1144" w:type="dxa"/>
                  <w:tcBorders>
                    <w:tl2br w:val="nil"/>
                    <w:tr2bl w:val="nil"/>
                  </w:tcBorders>
                  <w:shd w:val="clear" w:color="auto" w:fill="auto"/>
                  <w:vAlign w:val="center"/>
                </w:tcPr>
                <w:p w14:paraId="47B37D4A">
                  <w:pPr>
                    <w:jc w:val="center"/>
                    <w:rPr>
                      <w:rFonts w:hint="default" w:ascii="Times New Roman" w:hAnsi="Times New Roman" w:eastAsia="宋体" w:cs="Times New Roman"/>
                      <w:color w:val="auto"/>
                      <w:sz w:val="21"/>
                      <w:szCs w:val="21"/>
                      <w:highlight w:val="none"/>
                      <w:lang w:val="en-US"/>
                    </w:rPr>
                  </w:pPr>
                  <w:r>
                    <w:rPr>
                      <w:rFonts w:hint="eastAsia" w:ascii="Times New Roman" w:hAnsi="Times New Roman" w:eastAsia="宋体" w:cs="Times New Roman"/>
                      <w:sz w:val="21"/>
                      <w:szCs w:val="21"/>
                      <w:highlight w:val="none"/>
                      <w:lang w:val="en-US" w:eastAsia="zh-CN"/>
                    </w:rPr>
                    <w:t>增加1</w:t>
                  </w:r>
                </w:p>
              </w:tc>
              <w:tc>
                <w:tcPr>
                  <w:tcW w:w="1181" w:type="dxa"/>
                  <w:vMerge w:val="continue"/>
                  <w:tcBorders>
                    <w:tl2br w:val="nil"/>
                    <w:tr2bl w:val="nil"/>
                  </w:tcBorders>
                  <w:shd w:val="clear" w:color="auto" w:fill="auto"/>
                  <w:vAlign w:val="center"/>
                </w:tcPr>
                <w:p w14:paraId="66B004B6">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65700A9C">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1F0022B5">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21</w:t>
                  </w:r>
                </w:p>
              </w:tc>
              <w:tc>
                <w:tcPr>
                  <w:tcW w:w="2401" w:type="dxa"/>
                  <w:tcBorders>
                    <w:tl2br w:val="nil"/>
                    <w:tr2bl w:val="nil"/>
                  </w:tcBorders>
                  <w:shd w:val="clear" w:color="auto" w:fill="auto"/>
                  <w:vAlign w:val="center"/>
                </w:tcPr>
                <w:p w14:paraId="26AB6845">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en-US"/>
                    </w:rPr>
                  </w:pPr>
                  <w:r>
                    <w:rPr>
                      <w:rFonts w:hint="default" w:ascii="Times New Roman" w:hAnsi="Times New Roman" w:eastAsia="宋体" w:cs="Times New Roman"/>
                      <w:i w:val="0"/>
                      <w:iCs w:val="0"/>
                      <w:color w:val="000000"/>
                      <w:kern w:val="0"/>
                      <w:sz w:val="21"/>
                      <w:szCs w:val="21"/>
                      <w:u w:val="none"/>
                      <w:lang w:val="en-US" w:eastAsia="zh-CN" w:bidi="ar"/>
                    </w:rPr>
                    <w:t>酶标仪</w:t>
                  </w:r>
                </w:p>
              </w:tc>
              <w:tc>
                <w:tcPr>
                  <w:tcW w:w="1620" w:type="dxa"/>
                  <w:tcBorders>
                    <w:tl2br w:val="nil"/>
                    <w:tr2bl w:val="nil"/>
                  </w:tcBorders>
                  <w:shd w:val="clear" w:color="auto" w:fill="auto"/>
                  <w:vAlign w:val="center"/>
                </w:tcPr>
                <w:p w14:paraId="0AA13813">
                  <w:pPr>
                    <w:jc w:val="center"/>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w:t>
                  </w:r>
                </w:p>
              </w:tc>
              <w:tc>
                <w:tcPr>
                  <w:tcW w:w="1108" w:type="dxa"/>
                  <w:tcBorders>
                    <w:tl2br w:val="nil"/>
                    <w:tr2bl w:val="nil"/>
                  </w:tcBorders>
                  <w:shd w:val="clear" w:color="auto" w:fill="auto"/>
                  <w:vAlign w:val="center"/>
                </w:tcPr>
                <w:p w14:paraId="5997E8B1">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kern w:val="2"/>
                      <w:sz w:val="21"/>
                      <w:szCs w:val="21"/>
                      <w:highlight w:val="none"/>
                      <w:lang w:val="en-US" w:eastAsia="zh-CN" w:bidi="ar-SA"/>
                    </w:rPr>
                    <w:t>0</w:t>
                  </w:r>
                </w:p>
              </w:tc>
              <w:tc>
                <w:tcPr>
                  <w:tcW w:w="1025" w:type="dxa"/>
                  <w:tcBorders>
                    <w:tl2br w:val="nil"/>
                    <w:tr2bl w:val="nil"/>
                  </w:tcBorders>
                  <w:vAlign w:val="center"/>
                </w:tcPr>
                <w:p w14:paraId="4FA282D6">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1</w:t>
                  </w:r>
                </w:p>
              </w:tc>
              <w:tc>
                <w:tcPr>
                  <w:tcW w:w="1144" w:type="dxa"/>
                  <w:tcBorders>
                    <w:tl2br w:val="nil"/>
                    <w:tr2bl w:val="nil"/>
                  </w:tcBorders>
                  <w:shd w:val="clear" w:color="auto" w:fill="auto"/>
                  <w:vAlign w:val="center"/>
                </w:tcPr>
                <w:p w14:paraId="603BE1ED">
                  <w:pPr>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sz w:val="21"/>
                      <w:szCs w:val="21"/>
                      <w:highlight w:val="none"/>
                      <w:lang w:val="en-US" w:eastAsia="zh-CN"/>
                    </w:rPr>
                    <w:t>增加1</w:t>
                  </w:r>
                </w:p>
              </w:tc>
              <w:tc>
                <w:tcPr>
                  <w:tcW w:w="1181" w:type="dxa"/>
                  <w:vMerge w:val="continue"/>
                  <w:tcBorders>
                    <w:tl2br w:val="nil"/>
                    <w:tr2bl w:val="nil"/>
                  </w:tcBorders>
                  <w:shd w:val="clear" w:color="auto" w:fill="auto"/>
                  <w:vAlign w:val="center"/>
                </w:tcPr>
                <w:p w14:paraId="0E88FE32">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75D175FA">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718" w:type="dxa"/>
                  <w:tcBorders>
                    <w:tl2br w:val="nil"/>
                    <w:tr2bl w:val="nil"/>
                  </w:tcBorders>
                  <w:shd w:val="clear" w:color="auto" w:fill="auto"/>
                  <w:vAlign w:val="center"/>
                </w:tcPr>
                <w:p w14:paraId="1B4E8479">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22</w:t>
                  </w:r>
                </w:p>
              </w:tc>
              <w:tc>
                <w:tcPr>
                  <w:tcW w:w="2401" w:type="dxa"/>
                  <w:tcBorders>
                    <w:tl2br w:val="nil"/>
                    <w:tr2bl w:val="nil"/>
                  </w:tcBorders>
                  <w:shd w:val="clear" w:color="auto" w:fill="auto"/>
                  <w:vAlign w:val="center"/>
                </w:tcPr>
                <w:p w14:paraId="0DC1C6D9">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en-US"/>
                    </w:rPr>
                  </w:pPr>
                  <w:r>
                    <w:rPr>
                      <w:rFonts w:hint="default" w:ascii="Times New Roman" w:hAnsi="Times New Roman" w:eastAsia="宋体" w:cs="Times New Roman"/>
                      <w:i w:val="0"/>
                      <w:iCs w:val="0"/>
                      <w:color w:val="000000"/>
                      <w:kern w:val="0"/>
                      <w:sz w:val="21"/>
                      <w:szCs w:val="21"/>
                      <w:u w:val="none"/>
                      <w:lang w:val="en-US" w:eastAsia="zh-CN" w:bidi="ar"/>
                    </w:rPr>
                    <w:t>显微镜</w:t>
                  </w:r>
                </w:p>
              </w:tc>
              <w:tc>
                <w:tcPr>
                  <w:tcW w:w="1620" w:type="dxa"/>
                  <w:tcBorders>
                    <w:tl2br w:val="nil"/>
                    <w:tr2bl w:val="nil"/>
                  </w:tcBorders>
                  <w:shd w:val="clear" w:color="auto" w:fill="auto"/>
                  <w:vAlign w:val="center"/>
                </w:tcPr>
                <w:p w14:paraId="64C5911F">
                  <w:pPr>
                    <w:jc w:val="center"/>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w:t>
                  </w:r>
                </w:p>
              </w:tc>
              <w:tc>
                <w:tcPr>
                  <w:tcW w:w="1108" w:type="dxa"/>
                  <w:tcBorders>
                    <w:tl2br w:val="nil"/>
                    <w:tr2bl w:val="nil"/>
                  </w:tcBorders>
                  <w:shd w:val="clear" w:color="auto" w:fill="auto"/>
                  <w:vAlign w:val="center"/>
                </w:tcPr>
                <w:p w14:paraId="4FB61D62">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kern w:val="2"/>
                      <w:sz w:val="21"/>
                      <w:szCs w:val="21"/>
                      <w:highlight w:val="none"/>
                      <w:lang w:val="en-US" w:eastAsia="zh-CN" w:bidi="ar-SA"/>
                    </w:rPr>
                    <w:t>0</w:t>
                  </w:r>
                </w:p>
              </w:tc>
              <w:tc>
                <w:tcPr>
                  <w:tcW w:w="1025" w:type="dxa"/>
                  <w:tcBorders>
                    <w:tl2br w:val="nil"/>
                    <w:tr2bl w:val="nil"/>
                  </w:tcBorders>
                  <w:vAlign w:val="center"/>
                </w:tcPr>
                <w:p w14:paraId="697A848D">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1</w:t>
                  </w:r>
                </w:p>
              </w:tc>
              <w:tc>
                <w:tcPr>
                  <w:tcW w:w="1144" w:type="dxa"/>
                  <w:tcBorders>
                    <w:tl2br w:val="nil"/>
                    <w:tr2bl w:val="nil"/>
                  </w:tcBorders>
                  <w:shd w:val="clear" w:color="auto" w:fill="auto"/>
                  <w:vAlign w:val="center"/>
                </w:tcPr>
                <w:p w14:paraId="7606A1FA">
                  <w:pPr>
                    <w:jc w:val="center"/>
                    <w:rPr>
                      <w:rFonts w:hint="default" w:ascii="Times New Roman" w:hAnsi="Times New Roman" w:eastAsia="宋体" w:cs="Times New Roman"/>
                      <w:color w:val="auto"/>
                      <w:sz w:val="21"/>
                      <w:szCs w:val="21"/>
                      <w:highlight w:val="none"/>
                    </w:rPr>
                  </w:pPr>
                  <w:r>
                    <w:rPr>
                      <w:rFonts w:hint="eastAsia" w:ascii="Times New Roman" w:hAnsi="Times New Roman" w:eastAsia="宋体" w:cs="Times New Roman"/>
                      <w:sz w:val="21"/>
                      <w:szCs w:val="21"/>
                      <w:highlight w:val="none"/>
                      <w:lang w:val="en-US" w:eastAsia="zh-CN"/>
                    </w:rPr>
                    <w:t>增加1</w:t>
                  </w:r>
                </w:p>
              </w:tc>
              <w:tc>
                <w:tcPr>
                  <w:tcW w:w="1181" w:type="dxa"/>
                  <w:vMerge w:val="continue"/>
                  <w:tcBorders>
                    <w:tl2br w:val="nil"/>
                    <w:tr2bl w:val="nil"/>
                  </w:tcBorders>
                  <w:shd w:val="clear" w:color="auto" w:fill="auto"/>
                  <w:vAlign w:val="center"/>
                </w:tcPr>
                <w:p w14:paraId="0791F2E8">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r w14:paraId="30DCB9A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59" w:hRule="atLeast"/>
                <w:jc w:val="center"/>
              </w:trPr>
              <w:tc>
                <w:tcPr>
                  <w:tcW w:w="718" w:type="dxa"/>
                  <w:tcBorders>
                    <w:tl2br w:val="nil"/>
                    <w:tr2bl w:val="nil"/>
                  </w:tcBorders>
                  <w:shd w:val="clear" w:color="auto" w:fill="auto"/>
                  <w:vAlign w:val="center"/>
                </w:tcPr>
                <w:p w14:paraId="32BB97E0">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zh-CN"/>
                    </w:rPr>
                  </w:pPr>
                  <w:r>
                    <w:rPr>
                      <w:rFonts w:hint="default" w:ascii="Times New Roman" w:hAnsi="Times New Roman" w:eastAsia="宋体" w:cs="Times New Roman"/>
                      <w:i w:val="0"/>
                      <w:iCs w:val="0"/>
                      <w:color w:val="000000"/>
                      <w:kern w:val="0"/>
                      <w:sz w:val="21"/>
                      <w:szCs w:val="21"/>
                      <w:u w:val="none"/>
                      <w:lang w:val="en-US" w:eastAsia="zh-CN" w:bidi="ar"/>
                    </w:rPr>
                    <w:t>23</w:t>
                  </w:r>
                </w:p>
              </w:tc>
              <w:tc>
                <w:tcPr>
                  <w:tcW w:w="2401" w:type="dxa"/>
                  <w:tcBorders>
                    <w:tl2br w:val="nil"/>
                    <w:tr2bl w:val="nil"/>
                  </w:tcBorders>
                  <w:shd w:val="clear" w:color="auto" w:fill="auto"/>
                  <w:vAlign w:val="center"/>
                </w:tcPr>
                <w:p w14:paraId="45E540B5">
                  <w:pPr>
                    <w:keepNext w:val="0"/>
                    <w:keepLines w:val="0"/>
                    <w:widowControl/>
                    <w:suppressLineNumbers w:val="0"/>
                    <w:jc w:val="center"/>
                    <w:textAlignment w:val="center"/>
                    <w:rPr>
                      <w:rFonts w:hint="default" w:ascii="Times New Roman" w:hAnsi="Times New Roman" w:eastAsia="宋体" w:cs="Times New Roman"/>
                      <w:sz w:val="21"/>
                      <w:szCs w:val="21"/>
                      <w:highlight w:val="yellow"/>
                      <w:lang w:val="en-US" w:eastAsia="en-US"/>
                    </w:rPr>
                  </w:pPr>
                  <w:r>
                    <w:rPr>
                      <w:rFonts w:hint="default" w:ascii="Times New Roman" w:hAnsi="Times New Roman" w:eastAsia="宋体" w:cs="Times New Roman"/>
                      <w:i w:val="0"/>
                      <w:iCs w:val="0"/>
                      <w:color w:val="000000"/>
                      <w:kern w:val="0"/>
                      <w:sz w:val="21"/>
                      <w:szCs w:val="21"/>
                      <w:u w:val="none"/>
                      <w:lang w:val="en-US" w:eastAsia="zh-CN" w:bidi="ar"/>
                    </w:rPr>
                    <w:t>试管恒温仪</w:t>
                  </w:r>
                </w:p>
              </w:tc>
              <w:tc>
                <w:tcPr>
                  <w:tcW w:w="1620" w:type="dxa"/>
                  <w:tcBorders>
                    <w:tl2br w:val="nil"/>
                    <w:tr2bl w:val="nil"/>
                  </w:tcBorders>
                  <w:shd w:val="clear" w:color="auto" w:fill="auto"/>
                  <w:vAlign w:val="center"/>
                </w:tcPr>
                <w:p w14:paraId="021F2631">
                  <w:pPr>
                    <w:jc w:val="center"/>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w:t>
                  </w:r>
                </w:p>
              </w:tc>
              <w:tc>
                <w:tcPr>
                  <w:tcW w:w="1108" w:type="dxa"/>
                  <w:tcBorders>
                    <w:tl2br w:val="nil"/>
                    <w:tr2bl w:val="nil"/>
                  </w:tcBorders>
                  <w:shd w:val="clear" w:color="auto" w:fill="auto"/>
                  <w:vAlign w:val="center"/>
                </w:tcPr>
                <w:p w14:paraId="6EE7A862">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kern w:val="2"/>
                      <w:sz w:val="21"/>
                      <w:szCs w:val="21"/>
                      <w:highlight w:val="none"/>
                      <w:lang w:val="en-US" w:eastAsia="zh-CN" w:bidi="ar-SA"/>
                    </w:rPr>
                    <w:t>0</w:t>
                  </w:r>
                </w:p>
              </w:tc>
              <w:tc>
                <w:tcPr>
                  <w:tcW w:w="1025" w:type="dxa"/>
                  <w:tcBorders>
                    <w:tl2br w:val="nil"/>
                    <w:tr2bl w:val="nil"/>
                  </w:tcBorders>
                  <w:vAlign w:val="center"/>
                </w:tcPr>
                <w:p w14:paraId="77529016">
                  <w:pPr>
                    <w:keepNext w:val="0"/>
                    <w:keepLines w:val="0"/>
                    <w:widowControl/>
                    <w:suppressLineNumbers w:val="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i w:val="0"/>
                      <w:iCs w:val="0"/>
                      <w:color w:val="auto"/>
                      <w:kern w:val="0"/>
                      <w:sz w:val="21"/>
                      <w:szCs w:val="21"/>
                      <w:highlight w:val="none"/>
                      <w:u w:val="none"/>
                      <w:lang w:val="en-US" w:eastAsia="zh-CN" w:bidi="ar"/>
                    </w:rPr>
                    <w:t>1</w:t>
                  </w:r>
                </w:p>
              </w:tc>
              <w:tc>
                <w:tcPr>
                  <w:tcW w:w="1144" w:type="dxa"/>
                  <w:tcBorders>
                    <w:tl2br w:val="nil"/>
                    <w:tr2bl w:val="nil"/>
                  </w:tcBorders>
                  <w:shd w:val="clear" w:color="auto" w:fill="auto"/>
                  <w:vAlign w:val="center"/>
                </w:tcPr>
                <w:p w14:paraId="29838943">
                  <w:pPr>
                    <w:jc w:val="center"/>
                    <w:rPr>
                      <w:rFonts w:hint="default" w:ascii="Times New Roman" w:hAnsi="Times New Roman" w:eastAsia="宋体" w:cs="Times New Roman"/>
                      <w:color w:val="auto"/>
                      <w:sz w:val="21"/>
                      <w:szCs w:val="21"/>
                      <w:highlight w:val="none"/>
                    </w:rPr>
                  </w:pPr>
                  <w:r>
                    <w:rPr>
                      <w:rFonts w:hint="eastAsia" w:ascii="Times New Roman" w:hAnsi="Times New Roman" w:eastAsia="宋体" w:cs="Times New Roman"/>
                      <w:sz w:val="21"/>
                      <w:szCs w:val="21"/>
                      <w:highlight w:val="none"/>
                      <w:lang w:val="en-US" w:eastAsia="zh-CN"/>
                    </w:rPr>
                    <w:t>增加1</w:t>
                  </w:r>
                </w:p>
              </w:tc>
              <w:tc>
                <w:tcPr>
                  <w:tcW w:w="1181" w:type="dxa"/>
                  <w:vMerge w:val="continue"/>
                  <w:tcBorders>
                    <w:tl2br w:val="nil"/>
                    <w:tr2bl w:val="nil"/>
                  </w:tcBorders>
                  <w:shd w:val="clear" w:color="auto" w:fill="auto"/>
                  <w:vAlign w:val="center"/>
                </w:tcPr>
                <w:p w14:paraId="73FBD64E">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highlight w:val="yellow"/>
                      <w:lang w:val="en-US" w:eastAsia="zh-CN"/>
                    </w:rPr>
                  </w:pPr>
                </w:p>
              </w:tc>
            </w:tr>
          </w:tbl>
          <w:p w14:paraId="62F000CD">
            <w:pPr>
              <w:pStyle w:val="3"/>
              <w:jc w:val="center"/>
              <w:rPr>
                <w:rFonts w:hint="default" w:ascii="Times New Roman" w:hAnsi="Times New Roman"/>
                <w:b/>
                <w:bCs/>
                <w:spacing w:val="-1"/>
              </w:rPr>
            </w:pPr>
            <w:r>
              <w:rPr>
                <w:rFonts w:hint="default" w:ascii="Times New Roman" w:hAnsi="Times New Roman"/>
                <w:b/>
                <w:bCs/>
                <w:spacing w:val="-1"/>
              </w:rPr>
              <w:t>表2-</w:t>
            </w:r>
            <w:r>
              <w:rPr>
                <w:rFonts w:hint="eastAsia"/>
                <w:b/>
                <w:bCs/>
                <w:spacing w:val="-1"/>
                <w:lang w:val="en-US" w:eastAsia="zh-CN"/>
              </w:rPr>
              <w:t>2</w:t>
            </w:r>
            <w:r>
              <w:rPr>
                <w:rFonts w:hint="default" w:ascii="Times New Roman" w:hAnsi="Times New Roman"/>
                <w:b/>
                <w:bCs/>
                <w:spacing w:val="-1"/>
              </w:rPr>
              <w:t>本项目环评报告及批复与实际建设内容一览表</w:t>
            </w:r>
          </w:p>
          <w:tbl>
            <w:tblPr>
              <w:tblStyle w:val="30"/>
              <w:tblW w:w="9219"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433"/>
              <w:gridCol w:w="649"/>
              <w:gridCol w:w="3636"/>
              <w:gridCol w:w="3650"/>
              <w:gridCol w:w="851"/>
            </w:tblGrid>
            <w:tr w14:paraId="4912AD6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587" w:type="pct"/>
                  <w:gridSpan w:val="2"/>
                  <w:tcBorders>
                    <w:tl2br w:val="nil"/>
                    <w:tr2bl w:val="nil"/>
                  </w:tcBorders>
                  <w:vAlign w:val="center"/>
                </w:tcPr>
                <w:p w14:paraId="569E7DE3">
                  <w:pPr>
                    <w:pStyle w:val="8"/>
                    <w:jc w:val="center"/>
                    <w:rPr>
                      <w:rFonts w:hint="default" w:ascii="Times New Roman" w:hAnsi="Times New Roman" w:eastAsia="宋体" w:cs="Times New Roman"/>
                      <w:b/>
                      <w:color w:val="000000" w:themeColor="text1"/>
                      <w:sz w:val="21"/>
                      <w:szCs w:val="21"/>
                      <w14:textFill>
                        <w14:solidFill>
                          <w14:schemeClr w14:val="tx1"/>
                        </w14:solidFill>
                      </w14:textFill>
                    </w:rPr>
                  </w:pPr>
                  <w:bookmarkStart w:id="9" w:name="_Hlk75546352"/>
                  <w:r>
                    <w:rPr>
                      <w:rFonts w:hint="default" w:ascii="Times New Roman" w:hAnsi="Times New Roman" w:eastAsia="宋体" w:cs="Times New Roman"/>
                      <w:b/>
                      <w:color w:val="000000" w:themeColor="text1"/>
                      <w:sz w:val="21"/>
                      <w:szCs w:val="21"/>
                      <w14:textFill>
                        <w14:solidFill>
                          <w14:schemeClr w14:val="tx1"/>
                        </w14:solidFill>
                      </w14:textFill>
                    </w:rPr>
                    <w:t>工程类别</w:t>
                  </w:r>
                </w:p>
              </w:tc>
              <w:tc>
                <w:tcPr>
                  <w:tcW w:w="1971" w:type="pct"/>
                  <w:tcBorders>
                    <w:tl2br w:val="nil"/>
                    <w:tr2bl w:val="nil"/>
                  </w:tcBorders>
                  <w:vAlign w:val="center"/>
                </w:tcPr>
                <w:p w14:paraId="728AFD8C">
                  <w:pPr>
                    <w:pStyle w:val="8"/>
                    <w:jc w:val="center"/>
                    <w:rPr>
                      <w:rFonts w:hint="default" w:ascii="Times New Roman" w:hAnsi="Times New Roman" w:eastAsia="宋体" w:cs="Times New Roman"/>
                      <w:b/>
                      <w:color w:val="000000" w:themeColor="text1"/>
                      <w:sz w:val="21"/>
                      <w:szCs w:val="21"/>
                      <w14:textFill>
                        <w14:solidFill>
                          <w14:schemeClr w14:val="tx1"/>
                        </w14:solidFill>
                      </w14:textFill>
                    </w:rPr>
                  </w:pPr>
                  <w:r>
                    <w:rPr>
                      <w:rFonts w:hint="default" w:ascii="Times New Roman" w:hAnsi="Times New Roman" w:eastAsia="宋体" w:cs="Times New Roman"/>
                      <w:b/>
                      <w:color w:val="000000" w:themeColor="text1"/>
                      <w:sz w:val="21"/>
                      <w:szCs w:val="21"/>
                      <w14:textFill>
                        <w14:solidFill>
                          <w14:schemeClr w14:val="tx1"/>
                        </w14:solidFill>
                      </w14:textFill>
                    </w:rPr>
                    <w:t>环评及批复建设内容</w:t>
                  </w:r>
                </w:p>
              </w:tc>
              <w:tc>
                <w:tcPr>
                  <w:tcW w:w="1979" w:type="pct"/>
                  <w:tcBorders>
                    <w:tl2br w:val="nil"/>
                    <w:tr2bl w:val="nil"/>
                  </w:tcBorders>
                  <w:vAlign w:val="center"/>
                </w:tcPr>
                <w:p w14:paraId="1549D9E7">
                  <w:pPr>
                    <w:pStyle w:val="8"/>
                    <w:jc w:val="center"/>
                    <w:rPr>
                      <w:rFonts w:hint="default" w:ascii="Times New Roman" w:hAnsi="Times New Roman" w:eastAsia="宋体" w:cs="Times New Roman"/>
                      <w:b/>
                      <w:color w:val="000000" w:themeColor="text1"/>
                      <w:sz w:val="21"/>
                      <w:szCs w:val="21"/>
                      <w14:textFill>
                        <w14:solidFill>
                          <w14:schemeClr w14:val="tx1"/>
                        </w14:solidFill>
                      </w14:textFill>
                    </w:rPr>
                  </w:pPr>
                  <w:r>
                    <w:rPr>
                      <w:rFonts w:hint="default" w:ascii="Times New Roman" w:hAnsi="Times New Roman" w:eastAsia="宋体" w:cs="Times New Roman"/>
                      <w:b/>
                      <w:color w:val="000000" w:themeColor="text1"/>
                      <w:sz w:val="21"/>
                      <w:szCs w:val="21"/>
                      <w14:textFill>
                        <w14:solidFill>
                          <w14:schemeClr w14:val="tx1"/>
                        </w14:solidFill>
                      </w14:textFill>
                    </w:rPr>
                    <w:t>实际建设内容</w:t>
                  </w:r>
                </w:p>
              </w:tc>
              <w:tc>
                <w:tcPr>
                  <w:tcW w:w="461" w:type="pct"/>
                  <w:tcBorders>
                    <w:tl2br w:val="nil"/>
                    <w:tr2bl w:val="nil"/>
                  </w:tcBorders>
                  <w:vAlign w:val="center"/>
                </w:tcPr>
                <w:p w14:paraId="7EDED4DA">
                  <w:pPr>
                    <w:autoSpaceDE w:val="0"/>
                    <w:autoSpaceDN w:val="0"/>
                    <w:adjustRightInd w:val="0"/>
                    <w:snapToGrid w:val="0"/>
                    <w:jc w:val="center"/>
                    <w:rPr>
                      <w:rFonts w:hint="default" w:ascii="Times New Roman" w:hAnsi="Times New Roman" w:eastAsia="宋体" w:cs="Times New Roman"/>
                      <w:b/>
                      <w:color w:val="000000" w:themeColor="text1"/>
                      <w:sz w:val="21"/>
                      <w:szCs w:val="21"/>
                      <w14:textFill>
                        <w14:solidFill>
                          <w14:schemeClr w14:val="tx1"/>
                        </w14:solidFill>
                      </w14:textFill>
                    </w:rPr>
                  </w:pPr>
                  <w:r>
                    <w:rPr>
                      <w:rFonts w:hint="default" w:ascii="Times New Roman" w:hAnsi="Times New Roman" w:eastAsia="宋体" w:cs="Times New Roman"/>
                      <w:b/>
                      <w:color w:val="000000" w:themeColor="text1"/>
                      <w:sz w:val="21"/>
                      <w:szCs w:val="21"/>
                      <w14:textFill>
                        <w14:solidFill>
                          <w14:schemeClr w14:val="tx1"/>
                        </w14:solidFill>
                      </w14:textFill>
                    </w:rPr>
                    <w:t>变化</w:t>
                  </w:r>
                </w:p>
                <w:p w14:paraId="4882EA0A">
                  <w:pPr>
                    <w:autoSpaceDE w:val="0"/>
                    <w:autoSpaceDN w:val="0"/>
                    <w:adjustRightInd w:val="0"/>
                    <w:snapToGrid w:val="0"/>
                    <w:jc w:val="center"/>
                    <w:rPr>
                      <w:rFonts w:hint="default" w:ascii="Times New Roman" w:hAnsi="Times New Roman" w:eastAsia="宋体" w:cs="Times New Roman"/>
                      <w:b/>
                      <w:color w:val="000000" w:themeColor="text1"/>
                      <w:sz w:val="21"/>
                      <w:szCs w:val="21"/>
                      <w14:textFill>
                        <w14:solidFill>
                          <w14:schemeClr w14:val="tx1"/>
                        </w14:solidFill>
                      </w14:textFill>
                    </w:rPr>
                  </w:pPr>
                  <w:r>
                    <w:rPr>
                      <w:rFonts w:hint="default" w:ascii="Times New Roman" w:hAnsi="Times New Roman" w:eastAsia="宋体" w:cs="Times New Roman"/>
                      <w:b/>
                      <w:color w:val="000000" w:themeColor="text1"/>
                      <w:sz w:val="21"/>
                      <w:szCs w:val="21"/>
                      <w14:textFill>
                        <w14:solidFill>
                          <w14:schemeClr w14:val="tx1"/>
                        </w14:solidFill>
                      </w14:textFill>
                    </w:rPr>
                    <w:t>情况</w:t>
                  </w:r>
                </w:p>
              </w:tc>
            </w:tr>
            <w:tr w14:paraId="1ABF678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135" w:hRule="atLeast"/>
                <w:jc w:val="center"/>
              </w:trPr>
              <w:tc>
                <w:tcPr>
                  <w:tcW w:w="587" w:type="pct"/>
                  <w:gridSpan w:val="2"/>
                  <w:tcBorders>
                    <w:tl2br w:val="nil"/>
                    <w:tr2bl w:val="nil"/>
                  </w:tcBorders>
                  <w:vAlign w:val="center"/>
                </w:tcPr>
                <w:p w14:paraId="208D47A3">
                  <w:pPr>
                    <w:pStyle w:val="8"/>
                    <w:jc w:val="both"/>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建设内容</w:t>
                  </w:r>
                </w:p>
              </w:tc>
              <w:tc>
                <w:tcPr>
                  <w:tcW w:w="1971" w:type="pct"/>
                  <w:tcBorders>
                    <w:tl2br w:val="nil"/>
                    <w:tr2bl w:val="nil"/>
                  </w:tcBorders>
                  <w:vAlign w:val="center"/>
                </w:tcPr>
                <w:p w14:paraId="0D8BB4D2">
                  <w:pPr>
                    <w:pStyle w:val="8"/>
                    <w:jc w:val="both"/>
                    <w:rPr>
                      <w:rFonts w:hint="eastAsia" w:ascii="Times New Roman" w:hAnsi="Times New Roman" w:eastAsia="宋体" w:cs="Times New Roman"/>
                      <w:bCs/>
                      <w:sz w:val="21"/>
                      <w:szCs w:val="21"/>
                      <w:lang w:eastAsia="zh-CN"/>
                    </w:rPr>
                  </w:pPr>
                  <w:r>
                    <w:rPr>
                      <w:rFonts w:hint="default" w:ascii="Times New Roman" w:hAnsi="Times New Roman" w:eastAsia="宋体" w:cs="Times New Roman"/>
                      <w:bCs/>
                      <w:sz w:val="21"/>
                      <w:szCs w:val="21"/>
                    </w:rPr>
                    <w:t>本项目</w:t>
                  </w:r>
                  <w:r>
                    <w:rPr>
                      <w:rFonts w:hint="eastAsia" w:ascii="Times New Roman" w:hAnsi="Times New Roman" w:eastAsia="宋体" w:cs="Times New Roman"/>
                      <w:bCs/>
                      <w:sz w:val="21"/>
                      <w:szCs w:val="21"/>
                      <w:lang w:val="en-US" w:eastAsia="zh-CN"/>
                    </w:rPr>
                    <w:t>位于</w:t>
                  </w:r>
                  <w:r>
                    <w:rPr>
                      <w:rFonts w:hint="eastAsia" w:ascii="Times New Roman" w:hAnsi="Times New Roman" w:eastAsia="宋体" w:cs="Times New Roman"/>
                      <w:bCs/>
                      <w:sz w:val="21"/>
                      <w:szCs w:val="21"/>
                      <w:lang w:eastAsia="zh-CN"/>
                    </w:rPr>
                    <w:t>北京经济技术开发区康定街1号2幢3层</w:t>
                  </w:r>
                  <w:r>
                    <w:rPr>
                      <w:rFonts w:hint="eastAsia" w:ascii="Times New Roman" w:hAnsi="Times New Roman" w:eastAsia="宋体" w:cs="Times New Roman"/>
                      <w:bCs/>
                      <w:sz w:val="21"/>
                      <w:szCs w:val="21"/>
                      <w:lang w:val="en-US" w:eastAsia="zh-CN"/>
                    </w:rPr>
                    <w:t>，项目所在楼层占地面积为1148m2，建筑面积为 1148m2，年检验2万批次免疫细胞药物。</w:t>
                  </w:r>
                </w:p>
              </w:tc>
              <w:tc>
                <w:tcPr>
                  <w:tcW w:w="1979" w:type="pct"/>
                  <w:tcBorders>
                    <w:tl2br w:val="nil"/>
                    <w:tr2bl w:val="nil"/>
                  </w:tcBorders>
                  <w:vAlign w:val="center"/>
                </w:tcPr>
                <w:p w14:paraId="30510942">
                  <w:pPr>
                    <w:pStyle w:val="8"/>
                    <w:jc w:val="both"/>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本项目</w:t>
                  </w:r>
                  <w:r>
                    <w:rPr>
                      <w:rFonts w:hint="eastAsia" w:ascii="Times New Roman" w:hAnsi="Times New Roman" w:eastAsia="宋体" w:cs="Times New Roman"/>
                      <w:bCs/>
                      <w:sz w:val="21"/>
                      <w:szCs w:val="21"/>
                      <w:lang w:val="en-US" w:eastAsia="zh-CN"/>
                    </w:rPr>
                    <w:t>位于</w:t>
                  </w:r>
                  <w:r>
                    <w:rPr>
                      <w:rFonts w:hint="eastAsia" w:ascii="Times New Roman" w:hAnsi="Times New Roman" w:eastAsia="宋体" w:cs="Times New Roman"/>
                      <w:bCs/>
                      <w:sz w:val="21"/>
                      <w:szCs w:val="21"/>
                      <w:lang w:eastAsia="zh-CN"/>
                    </w:rPr>
                    <w:t>北京经济技术开发区康定街1号2幢3层</w:t>
                  </w:r>
                  <w:r>
                    <w:rPr>
                      <w:rFonts w:hint="eastAsia" w:ascii="Times New Roman" w:hAnsi="Times New Roman" w:eastAsia="宋体" w:cs="Times New Roman"/>
                      <w:bCs/>
                      <w:sz w:val="21"/>
                      <w:szCs w:val="21"/>
                      <w:lang w:val="en-US" w:eastAsia="zh-CN"/>
                    </w:rPr>
                    <w:t>，项目所在楼层占地面积为1148m2，建筑面积为 1148m2，年检验2万批次免疫细胞药物。</w:t>
                  </w:r>
                </w:p>
              </w:tc>
              <w:tc>
                <w:tcPr>
                  <w:tcW w:w="461" w:type="pct"/>
                  <w:tcBorders>
                    <w:tl2br w:val="nil"/>
                    <w:tr2bl w:val="nil"/>
                  </w:tcBorders>
                  <w:vAlign w:val="center"/>
                </w:tcPr>
                <w:p w14:paraId="760B7409">
                  <w:pPr>
                    <w:adjustRightInd w:val="0"/>
                    <w:snapToGrid w:val="0"/>
                    <w:spacing w:line="260" w:lineRule="exact"/>
                    <w:jc w:val="both"/>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无变化</w:t>
                  </w:r>
                </w:p>
              </w:tc>
            </w:tr>
            <w:tr w14:paraId="5583C38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jc w:val="center"/>
              </w:trPr>
              <w:tc>
                <w:tcPr>
                  <w:tcW w:w="235" w:type="pct"/>
                  <w:vMerge w:val="restart"/>
                  <w:tcBorders>
                    <w:tl2br w:val="nil"/>
                    <w:tr2bl w:val="nil"/>
                  </w:tcBorders>
                  <w:vAlign w:val="center"/>
                </w:tcPr>
                <w:p w14:paraId="670E4290">
                  <w:pPr>
                    <w:pStyle w:val="8"/>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公用</w:t>
                  </w:r>
                </w:p>
                <w:p w14:paraId="588597E7">
                  <w:pPr>
                    <w:pStyle w:val="8"/>
                    <w:jc w:val="both"/>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工程</w:t>
                  </w:r>
                </w:p>
              </w:tc>
              <w:tc>
                <w:tcPr>
                  <w:tcW w:w="352" w:type="pct"/>
                  <w:tcBorders>
                    <w:tl2br w:val="nil"/>
                    <w:tr2bl w:val="nil"/>
                  </w:tcBorders>
                  <w:vAlign w:val="center"/>
                </w:tcPr>
                <w:p w14:paraId="7A21F7E0">
                  <w:pPr>
                    <w:pStyle w:val="8"/>
                    <w:jc w:val="both"/>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bCs/>
                      <w:sz w:val="21"/>
                      <w:szCs w:val="21"/>
                      <w:lang w:val="en-US" w:eastAsia="zh-CN"/>
                    </w:rPr>
                    <w:t>供</w:t>
                  </w:r>
                  <w:r>
                    <w:rPr>
                      <w:rFonts w:hint="default" w:ascii="Times New Roman" w:hAnsi="Times New Roman" w:eastAsia="宋体" w:cs="Times New Roman"/>
                      <w:bCs/>
                      <w:sz w:val="21"/>
                      <w:szCs w:val="21"/>
                    </w:rPr>
                    <w:t>水</w:t>
                  </w:r>
                </w:p>
              </w:tc>
              <w:tc>
                <w:tcPr>
                  <w:tcW w:w="1971" w:type="pct"/>
                  <w:tcBorders>
                    <w:tl2br w:val="nil"/>
                    <w:tr2bl w:val="nil"/>
                  </w:tcBorders>
                  <w:vAlign w:val="center"/>
                </w:tcPr>
                <w:p w14:paraId="19647689">
                  <w:pPr>
                    <w:pStyle w:val="8"/>
                    <w:jc w:val="both"/>
                    <w:rPr>
                      <w:rFonts w:hint="eastAsia" w:ascii="Times New Roman" w:hAnsi="Times New Roman" w:eastAsia="宋体" w:cs="Times New Roman"/>
                      <w:color w:val="000000" w:themeColor="text1"/>
                      <w:kern w:val="0"/>
                      <w:sz w:val="21"/>
                      <w:szCs w:val="21"/>
                      <w:lang w:eastAsia="zh-CN"/>
                      <w14:textFill>
                        <w14:solidFill>
                          <w14:schemeClr w14:val="tx1"/>
                        </w14:solidFill>
                      </w14:textFill>
                    </w:rPr>
                  </w:pPr>
                  <w:r>
                    <w:rPr>
                      <w:rFonts w:hint="default" w:ascii="Times New Roman" w:hAnsi="Times New Roman" w:eastAsia="宋体" w:cs="Times New Roman"/>
                      <w:bCs/>
                      <w:sz w:val="21"/>
                      <w:szCs w:val="21"/>
                    </w:rPr>
                    <w:t>由所在区域市政供水管网统一供给</w:t>
                  </w:r>
                  <w:r>
                    <w:rPr>
                      <w:rFonts w:hint="eastAsia" w:ascii="Times New Roman" w:hAnsi="Times New Roman" w:eastAsia="宋体" w:cs="Times New Roman"/>
                      <w:bCs/>
                      <w:sz w:val="21"/>
                      <w:szCs w:val="21"/>
                      <w:lang w:eastAsia="zh-CN"/>
                    </w:rPr>
                    <w:t>。</w:t>
                  </w:r>
                </w:p>
              </w:tc>
              <w:tc>
                <w:tcPr>
                  <w:tcW w:w="1979" w:type="pct"/>
                  <w:tcBorders>
                    <w:tl2br w:val="nil"/>
                    <w:tr2bl w:val="nil"/>
                  </w:tcBorders>
                  <w:vAlign w:val="center"/>
                </w:tcPr>
                <w:p w14:paraId="332FF26A">
                  <w:pPr>
                    <w:pStyle w:val="8"/>
                    <w:jc w:val="both"/>
                    <w:rPr>
                      <w:rFonts w:hint="eastAsia" w:ascii="Times New Roman" w:hAnsi="Times New Roman" w:eastAsia="宋体" w:cs="Times New Roman"/>
                      <w:color w:val="000000" w:themeColor="text1"/>
                      <w:kern w:val="0"/>
                      <w:sz w:val="21"/>
                      <w:szCs w:val="21"/>
                      <w:lang w:eastAsia="zh-CN"/>
                      <w14:textFill>
                        <w14:solidFill>
                          <w14:schemeClr w14:val="tx1"/>
                        </w14:solidFill>
                      </w14:textFill>
                    </w:rPr>
                  </w:pPr>
                  <w:r>
                    <w:rPr>
                      <w:rFonts w:hint="default" w:ascii="Times New Roman" w:hAnsi="Times New Roman" w:eastAsia="宋体" w:cs="Times New Roman"/>
                      <w:bCs/>
                      <w:sz w:val="21"/>
                      <w:szCs w:val="21"/>
                    </w:rPr>
                    <w:t>由所在区域市政供水管网统一供给</w:t>
                  </w:r>
                  <w:r>
                    <w:rPr>
                      <w:rFonts w:hint="eastAsia" w:ascii="Times New Roman" w:hAnsi="Times New Roman" w:eastAsia="宋体" w:cs="Times New Roman"/>
                      <w:bCs/>
                      <w:sz w:val="21"/>
                      <w:szCs w:val="21"/>
                      <w:lang w:eastAsia="zh-CN"/>
                    </w:rPr>
                    <w:t>。</w:t>
                  </w:r>
                </w:p>
              </w:tc>
              <w:tc>
                <w:tcPr>
                  <w:tcW w:w="461" w:type="pct"/>
                  <w:tcBorders>
                    <w:tl2br w:val="nil"/>
                    <w:tr2bl w:val="nil"/>
                  </w:tcBorders>
                  <w:vAlign w:val="center"/>
                </w:tcPr>
                <w:p w14:paraId="218CEECD">
                  <w:pPr>
                    <w:adjustRightInd w:val="0"/>
                    <w:snapToGrid w:val="0"/>
                    <w:spacing w:line="260" w:lineRule="exact"/>
                    <w:jc w:val="both"/>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无变化</w:t>
                  </w:r>
                </w:p>
              </w:tc>
            </w:tr>
            <w:tr w14:paraId="2B21F2B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jc w:val="center"/>
              </w:trPr>
              <w:tc>
                <w:tcPr>
                  <w:tcW w:w="235" w:type="pct"/>
                  <w:vMerge w:val="continue"/>
                  <w:tcBorders>
                    <w:tl2br w:val="nil"/>
                    <w:tr2bl w:val="nil"/>
                  </w:tcBorders>
                  <w:vAlign w:val="center"/>
                </w:tcPr>
                <w:p w14:paraId="16271A5A">
                  <w:pPr>
                    <w:pStyle w:val="8"/>
                    <w:jc w:val="both"/>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352" w:type="pct"/>
                  <w:tcBorders>
                    <w:tl2br w:val="nil"/>
                    <w:tr2bl w:val="nil"/>
                  </w:tcBorders>
                  <w:vAlign w:val="center"/>
                </w:tcPr>
                <w:p w14:paraId="636EC34C">
                  <w:pPr>
                    <w:pStyle w:val="8"/>
                    <w:jc w:val="both"/>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bCs/>
                      <w:sz w:val="21"/>
                      <w:szCs w:val="21"/>
                    </w:rPr>
                    <w:t>供电</w:t>
                  </w:r>
                </w:p>
              </w:tc>
              <w:tc>
                <w:tcPr>
                  <w:tcW w:w="1971" w:type="pct"/>
                  <w:tcBorders>
                    <w:tl2br w:val="nil"/>
                    <w:tr2bl w:val="nil"/>
                  </w:tcBorders>
                  <w:vAlign w:val="center"/>
                </w:tcPr>
                <w:p w14:paraId="764D7270">
                  <w:pPr>
                    <w:pStyle w:val="8"/>
                    <w:jc w:val="both"/>
                    <w:rPr>
                      <w:rFonts w:hint="eastAsia" w:ascii="Times New Roman" w:hAnsi="Times New Roman" w:eastAsia="宋体" w:cs="Times New Roman"/>
                      <w:color w:val="000000" w:themeColor="text1"/>
                      <w:kern w:val="0"/>
                      <w:sz w:val="21"/>
                      <w:szCs w:val="21"/>
                      <w:lang w:eastAsia="zh-CN"/>
                      <w14:textFill>
                        <w14:solidFill>
                          <w14:schemeClr w14:val="tx1"/>
                        </w14:solidFill>
                      </w14:textFill>
                    </w:rPr>
                  </w:pPr>
                  <w:r>
                    <w:rPr>
                      <w:rFonts w:hint="default" w:ascii="Times New Roman" w:hAnsi="Times New Roman" w:eastAsia="宋体" w:cs="Times New Roman"/>
                      <w:spacing w:val="-3"/>
                      <w:sz w:val="21"/>
                      <w:szCs w:val="21"/>
                    </w:rPr>
                    <w:t>由所在区域市政电网统一供给</w:t>
                  </w:r>
                  <w:r>
                    <w:rPr>
                      <w:rFonts w:hint="eastAsia" w:ascii="Times New Roman" w:hAnsi="Times New Roman" w:eastAsia="宋体" w:cs="Times New Roman"/>
                      <w:spacing w:val="-3"/>
                      <w:sz w:val="21"/>
                      <w:szCs w:val="21"/>
                      <w:lang w:eastAsia="zh-CN"/>
                    </w:rPr>
                    <w:t>。</w:t>
                  </w:r>
                </w:p>
              </w:tc>
              <w:tc>
                <w:tcPr>
                  <w:tcW w:w="1979" w:type="pct"/>
                  <w:tcBorders>
                    <w:tl2br w:val="nil"/>
                    <w:tr2bl w:val="nil"/>
                  </w:tcBorders>
                  <w:vAlign w:val="center"/>
                </w:tcPr>
                <w:p w14:paraId="173A0BAB">
                  <w:pPr>
                    <w:pStyle w:val="8"/>
                    <w:jc w:val="both"/>
                    <w:rPr>
                      <w:rFonts w:hint="eastAsia" w:ascii="Times New Roman" w:hAnsi="Times New Roman" w:eastAsia="宋体" w:cs="Times New Roman"/>
                      <w:color w:val="000000" w:themeColor="text1"/>
                      <w:kern w:val="0"/>
                      <w:sz w:val="21"/>
                      <w:szCs w:val="21"/>
                      <w:lang w:eastAsia="zh-CN"/>
                      <w14:textFill>
                        <w14:solidFill>
                          <w14:schemeClr w14:val="tx1"/>
                        </w14:solidFill>
                      </w14:textFill>
                    </w:rPr>
                  </w:pPr>
                  <w:r>
                    <w:rPr>
                      <w:rFonts w:hint="default" w:ascii="Times New Roman" w:hAnsi="Times New Roman" w:eastAsia="宋体" w:cs="Times New Roman"/>
                      <w:spacing w:val="-3"/>
                      <w:sz w:val="21"/>
                      <w:szCs w:val="21"/>
                    </w:rPr>
                    <w:t>由所在区域市政电网统一供给</w:t>
                  </w:r>
                  <w:r>
                    <w:rPr>
                      <w:rFonts w:hint="eastAsia" w:ascii="Times New Roman" w:hAnsi="Times New Roman" w:eastAsia="宋体" w:cs="Times New Roman"/>
                      <w:spacing w:val="-3"/>
                      <w:sz w:val="21"/>
                      <w:szCs w:val="21"/>
                      <w:lang w:eastAsia="zh-CN"/>
                    </w:rPr>
                    <w:t>。</w:t>
                  </w:r>
                </w:p>
              </w:tc>
              <w:tc>
                <w:tcPr>
                  <w:tcW w:w="461" w:type="pct"/>
                  <w:tcBorders>
                    <w:tl2br w:val="nil"/>
                    <w:tr2bl w:val="nil"/>
                  </w:tcBorders>
                  <w:vAlign w:val="center"/>
                </w:tcPr>
                <w:p w14:paraId="6048A9AD">
                  <w:pPr>
                    <w:adjustRightInd w:val="0"/>
                    <w:snapToGrid w:val="0"/>
                    <w:spacing w:line="260" w:lineRule="exact"/>
                    <w:jc w:val="both"/>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无变化</w:t>
                  </w:r>
                </w:p>
              </w:tc>
            </w:tr>
            <w:tr w14:paraId="476E6AE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57" w:hRule="atLeast"/>
                <w:jc w:val="center"/>
              </w:trPr>
              <w:tc>
                <w:tcPr>
                  <w:tcW w:w="235" w:type="pct"/>
                  <w:vMerge w:val="continue"/>
                  <w:tcBorders>
                    <w:tl2br w:val="nil"/>
                    <w:tr2bl w:val="nil"/>
                  </w:tcBorders>
                  <w:vAlign w:val="center"/>
                </w:tcPr>
                <w:p w14:paraId="1D70ACE4">
                  <w:pPr>
                    <w:pStyle w:val="8"/>
                    <w:jc w:val="both"/>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352" w:type="pct"/>
                  <w:tcBorders>
                    <w:tl2br w:val="nil"/>
                    <w:tr2bl w:val="nil"/>
                  </w:tcBorders>
                  <w:vAlign w:val="center"/>
                </w:tcPr>
                <w:p w14:paraId="5849D57C">
                  <w:pPr>
                    <w:adjustRightInd w:val="0"/>
                    <w:snapToGrid w:val="0"/>
                    <w:jc w:val="both"/>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bCs/>
                      <w:sz w:val="21"/>
                      <w:szCs w:val="21"/>
                    </w:rPr>
                    <w:t>供热及制冷</w:t>
                  </w:r>
                </w:p>
              </w:tc>
              <w:tc>
                <w:tcPr>
                  <w:tcW w:w="1971" w:type="pct"/>
                  <w:tcBorders>
                    <w:tl2br w:val="nil"/>
                    <w:tr2bl w:val="nil"/>
                  </w:tcBorders>
                  <w:vAlign w:val="center"/>
                </w:tcPr>
                <w:p w14:paraId="4052ACFA">
                  <w:pPr>
                    <w:pStyle w:val="8"/>
                    <w:jc w:val="both"/>
                    <w:rPr>
                      <w:rFonts w:hint="eastAsia" w:ascii="Times New Roman" w:hAnsi="Times New Roman" w:cs="Times New Roman" w:eastAsiaTheme="minorEastAsia"/>
                      <w:color w:val="000000" w:themeColor="text1"/>
                      <w:kern w:val="0"/>
                      <w:sz w:val="21"/>
                      <w:szCs w:val="21"/>
                      <w:lang w:eastAsia="zh-CN"/>
                      <w14:textFill>
                        <w14:solidFill>
                          <w14:schemeClr w14:val="tx1"/>
                        </w14:solidFill>
                      </w14:textFill>
                    </w:rPr>
                  </w:pPr>
                  <w:r>
                    <w:rPr>
                      <w:rFonts w:hint="eastAsia"/>
                      <w:color w:val="000000"/>
                      <w:szCs w:val="21"/>
                    </w:rPr>
                    <w:t>夏季制冷使用空调</w:t>
                  </w:r>
                  <w:r>
                    <w:rPr>
                      <w:rFonts w:hint="eastAsia"/>
                      <w:color w:val="000000"/>
                      <w:szCs w:val="21"/>
                      <w:lang w:eastAsia="zh-CN"/>
                    </w:rPr>
                    <w:t>，</w:t>
                  </w:r>
                  <w:r>
                    <w:rPr>
                      <w:rFonts w:hint="eastAsia"/>
                      <w:color w:val="000000"/>
                      <w:szCs w:val="21"/>
                    </w:rPr>
                    <w:t>冬季采暖由市政集中供暖</w:t>
                  </w:r>
                </w:p>
              </w:tc>
              <w:tc>
                <w:tcPr>
                  <w:tcW w:w="1979" w:type="pct"/>
                  <w:tcBorders>
                    <w:tl2br w:val="nil"/>
                    <w:tr2bl w:val="nil"/>
                  </w:tcBorders>
                  <w:vAlign w:val="center"/>
                </w:tcPr>
                <w:p w14:paraId="38DECC72">
                  <w:pPr>
                    <w:pStyle w:val="8"/>
                    <w:jc w:val="both"/>
                    <w:rPr>
                      <w:rFonts w:hint="eastAsia" w:ascii="Times New Roman" w:hAnsi="Times New Roman" w:cs="Times New Roman" w:eastAsiaTheme="minorEastAsia"/>
                      <w:color w:val="000000" w:themeColor="text1"/>
                      <w:kern w:val="0"/>
                      <w:sz w:val="21"/>
                      <w:szCs w:val="21"/>
                      <w:lang w:eastAsia="zh-CN"/>
                      <w14:textFill>
                        <w14:solidFill>
                          <w14:schemeClr w14:val="tx1"/>
                        </w14:solidFill>
                      </w14:textFill>
                    </w:rPr>
                  </w:pPr>
                  <w:r>
                    <w:rPr>
                      <w:rFonts w:hint="eastAsia"/>
                      <w:color w:val="000000"/>
                      <w:szCs w:val="21"/>
                    </w:rPr>
                    <w:t>夏季制冷使用空调</w:t>
                  </w:r>
                  <w:r>
                    <w:rPr>
                      <w:rFonts w:hint="eastAsia"/>
                      <w:color w:val="000000"/>
                      <w:szCs w:val="21"/>
                      <w:lang w:eastAsia="zh-CN"/>
                    </w:rPr>
                    <w:t>，</w:t>
                  </w:r>
                  <w:r>
                    <w:rPr>
                      <w:rFonts w:hint="eastAsia"/>
                      <w:color w:val="000000"/>
                      <w:szCs w:val="21"/>
                    </w:rPr>
                    <w:t>冬季采暖由市政集中供暖</w:t>
                  </w:r>
                </w:p>
              </w:tc>
              <w:tc>
                <w:tcPr>
                  <w:tcW w:w="461" w:type="pct"/>
                  <w:tcBorders>
                    <w:tl2br w:val="nil"/>
                    <w:tr2bl w:val="nil"/>
                  </w:tcBorders>
                  <w:vAlign w:val="center"/>
                </w:tcPr>
                <w:p w14:paraId="0A32C616">
                  <w:pPr>
                    <w:adjustRightInd w:val="0"/>
                    <w:snapToGrid w:val="0"/>
                    <w:spacing w:line="260" w:lineRule="exact"/>
                    <w:jc w:val="both"/>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无变化</w:t>
                  </w:r>
                </w:p>
              </w:tc>
            </w:tr>
            <w:tr w14:paraId="2B31851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15" w:hRule="atLeast"/>
                <w:jc w:val="center"/>
              </w:trPr>
              <w:tc>
                <w:tcPr>
                  <w:tcW w:w="235" w:type="pct"/>
                  <w:vMerge w:val="restart"/>
                  <w:tcBorders>
                    <w:tl2br w:val="nil"/>
                    <w:tr2bl w:val="nil"/>
                  </w:tcBorders>
                  <w:vAlign w:val="center"/>
                </w:tcPr>
                <w:p w14:paraId="73AAA1BB">
                  <w:pPr>
                    <w:pStyle w:val="8"/>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环保</w:t>
                  </w:r>
                </w:p>
                <w:p w14:paraId="27993437">
                  <w:pPr>
                    <w:pStyle w:val="8"/>
                    <w:jc w:val="both"/>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工程</w:t>
                  </w:r>
                </w:p>
              </w:tc>
              <w:tc>
                <w:tcPr>
                  <w:tcW w:w="352" w:type="pct"/>
                  <w:tcBorders>
                    <w:tl2br w:val="nil"/>
                    <w:tr2bl w:val="nil"/>
                  </w:tcBorders>
                  <w:vAlign w:val="center"/>
                </w:tcPr>
                <w:p w14:paraId="27CE77FA">
                  <w:pPr>
                    <w:adjustRightInd w:val="0"/>
                    <w:snapToGrid w:val="0"/>
                    <w:jc w:val="both"/>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废气</w:t>
                  </w:r>
                </w:p>
              </w:tc>
              <w:tc>
                <w:tcPr>
                  <w:tcW w:w="1971" w:type="pct"/>
                  <w:tcBorders>
                    <w:tl2br w:val="nil"/>
                    <w:tr2bl w:val="nil"/>
                  </w:tcBorders>
                  <w:vAlign w:val="center"/>
                </w:tcPr>
                <w:p w14:paraId="4FF772B8">
                  <w:pPr>
                    <w:adjustRightInd w:val="0"/>
                    <w:snapToGrid w:val="0"/>
                    <w:spacing w:line="280" w:lineRule="exact"/>
                    <w:rPr>
                      <w:rFonts w:hint="default" w:ascii="Times New Roman" w:hAnsi="Times New Roman" w:eastAsia="宋体" w:cs="Times New Roman"/>
                      <w:sz w:val="21"/>
                      <w:szCs w:val="21"/>
                      <w:highlight w:val="none"/>
                    </w:rPr>
                  </w:pPr>
                  <w:r>
                    <w:rPr>
                      <w:rFonts w:hint="eastAsia"/>
                      <w:color w:val="000000"/>
                      <w:highlight w:val="none"/>
                      <w:lang w:val="en-US" w:eastAsia="zh-CN"/>
                    </w:rPr>
                    <w:t>项</w:t>
                  </w:r>
                  <w:r>
                    <w:rPr>
                      <w:rFonts w:hint="eastAsia"/>
                      <w:color w:val="000000"/>
                      <w:highlight w:val="none"/>
                    </w:rPr>
                    <w:t>目排放废气主要为实验检测过程中挥发的有机废气和无机废气， 项目各实验室主要实验台上方设有集气罩及通风系统，实验过程中产生的有机废气和无机废气经过集气罩收集，活性炭净化处理后通过排气筒排放。经处理后排放的废气符合排放标准，对周围环境影响较小。</w:t>
                  </w:r>
                </w:p>
              </w:tc>
              <w:tc>
                <w:tcPr>
                  <w:tcW w:w="1979" w:type="pct"/>
                  <w:tcBorders>
                    <w:tl2br w:val="nil"/>
                    <w:tr2bl w:val="nil"/>
                  </w:tcBorders>
                  <w:vAlign w:val="center"/>
                </w:tcPr>
                <w:p w14:paraId="712331C4">
                  <w:pPr>
                    <w:bidi w:val="0"/>
                    <w:jc w:val="both"/>
                    <w:rPr>
                      <w:rFonts w:hint="default" w:ascii="Times New Roman" w:hAnsi="Times New Roman" w:eastAsia="宋体" w:cs="Times New Roman"/>
                      <w:color w:val="000000" w:themeColor="text1"/>
                      <w:kern w:val="0"/>
                      <w:sz w:val="21"/>
                      <w:szCs w:val="21"/>
                      <w:highlight w:val="none"/>
                      <w:lang w:val="en-US"/>
                      <w14:textFill>
                        <w14:solidFill>
                          <w14:schemeClr w14:val="tx1"/>
                        </w14:solidFill>
                      </w14:textFill>
                    </w:rPr>
                  </w:pPr>
                  <w:r>
                    <w:rPr>
                      <w:rFonts w:hint="eastAsia"/>
                      <w:color w:val="000000"/>
                      <w:highlight w:val="none"/>
                      <w:lang w:val="en-US" w:eastAsia="zh-CN"/>
                    </w:rPr>
                    <w:t>项</w:t>
                  </w:r>
                  <w:r>
                    <w:rPr>
                      <w:rFonts w:hint="eastAsia"/>
                      <w:color w:val="000000"/>
                      <w:highlight w:val="none"/>
                    </w:rPr>
                    <w:t>目排放废气主要为实验检测过程中挥发的有机废气和无机废气， 项目各实验室主要实验台上方设有集气罩及通风系统，实验过程中产生的有机废气和无机废气经过集气罩收集，活性炭净化处理后通过排气筒排放。经处理后排放的废气符合排放标准，对周围环境影响较小。</w:t>
                  </w:r>
                </w:p>
              </w:tc>
              <w:tc>
                <w:tcPr>
                  <w:tcW w:w="461" w:type="pct"/>
                  <w:tcBorders>
                    <w:tl2br w:val="nil"/>
                    <w:tr2bl w:val="nil"/>
                  </w:tcBorders>
                  <w:vAlign w:val="center"/>
                </w:tcPr>
                <w:p w14:paraId="566BBA5B">
                  <w:pPr>
                    <w:bidi w:val="0"/>
                    <w:jc w:val="both"/>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000000" w:themeColor="text1"/>
                      <w:sz w:val="21"/>
                      <w:szCs w:val="21"/>
                      <w14:textFill>
                        <w14:solidFill>
                          <w14:schemeClr w14:val="tx1"/>
                        </w14:solidFill>
                      </w14:textFill>
                    </w:rPr>
                    <w:t>无变化</w:t>
                  </w:r>
                </w:p>
              </w:tc>
            </w:tr>
            <w:tr w14:paraId="6C0B7E2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741" w:hRule="atLeast"/>
                <w:jc w:val="center"/>
              </w:trPr>
              <w:tc>
                <w:tcPr>
                  <w:tcW w:w="235" w:type="pct"/>
                  <w:vMerge w:val="continue"/>
                  <w:tcBorders>
                    <w:tl2br w:val="nil"/>
                    <w:tr2bl w:val="nil"/>
                  </w:tcBorders>
                  <w:vAlign w:val="center"/>
                </w:tcPr>
                <w:p w14:paraId="31A59550">
                  <w:pPr>
                    <w:adjustRightInd w:val="0"/>
                    <w:snapToGrid w:val="0"/>
                    <w:spacing w:line="260" w:lineRule="exact"/>
                    <w:jc w:val="both"/>
                    <w:rPr>
                      <w:rFonts w:hint="default" w:ascii="Times New Roman" w:hAnsi="Times New Roman" w:eastAsia="宋体" w:cs="Times New Roman"/>
                      <w:color w:val="000000" w:themeColor="text1"/>
                      <w:sz w:val="21"/>
                      <w:szCs w:val="21"/>
                      <w14:textFill>
                        <w14:solidFill>
                          <w14:schemeClr w14:val="tx1"/>
                        </w14:solidFill>
                      </w14:textFill>
                    </w:rPr>
                  </w:pPr>
                  <w:bookmarkStart w:id="10" w:name="_Hlk79503374"/>
                </w:p>
              </w:tc>
              <w:tc>
                <w:tcPr>
                  <w:tcW w:w="352" w:type="pct"/>
                  <w:tcBorders>
                    <w:bottom w:val="single" w:color="auto" w:sz="4" w:space="0"/>
                    <w:tl2br w:val="nil"/>
                    <w:tr2bl w:val="nil"/>
                  </w:tcBorders>
                  <w:vAlign w:val="center"/>
                </w:tcPr>
                <w:p w14:paraId="4FAC7DC6">
                  <w:pPr>
                    <w:adjustRightInd w:val="0"/>
                    <w:snapToGrid w:val="0"/>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废水</w:t>
                  </w:r>
                </w:p>
              </w:tc>
              <w:tc>
                <w:tcPr>
                  <w:tcW w:w="1971" w:type="pct"/>
                  <w:tcBorders>
                    <w:bottom w:val="single" w:color="auto" w:sz="4" w:space="0"/>
                    <w:tl2br w:val="nil"/>
                    <w:tr2bl w:val="nil"/>
                  </w:tcBorders>
                  <w:vAlign w:val="center"/>
                </w:tcPr>
                <w:p w14:paraId="5821F6E6">
                  <w:pPr>
                    <w:adjustRightInd w:val="0"/>
                    <w:snapToGrid w:val="0"/>
                    <w:spacing w:line="280" w:lineRule="exact"/>
                    <w:rPr>
                      <w:rFonts w:hint="default"/>
                      <w:color w:val="000000"/>
                      <w:highlight w:val="none"/>
                      <w:lang w:val="en-US" w:eastAsia="zh-CN"/>
                    </w:rPr>
                  </w:pPr>
                  <w:r>
                    <w:rPr>
                      <w:rFonts w:hint="default"/>
                      <w:color w:val="000000"/>
                      <w:highlight w:val="none"/>
                      <w:lang w:val="en-US" w:eastAsia="zh-CN"/>
                    </w:rPr>
                    <w:t>本项目污水处理依托公司现有污水处理站。经污水处理设备处理后的生产废水（检测废水除外）与生活污水均排入所在建筑已有防渗化粪池，再通过市政污水管网排入开发区东区污水处理厂。</w:t>
                  </w:r>
                </w:p>
              </w:tc>
              <w:tc>
                <w:tcPr>
                  <w:tcW w:w="1979" w:type="pct"/>
                  <w:tcBorders>
                    <w:bottom w:val="single" w:color="auto" w:sz="4" w:space="0"/>
                    <w:tl2br w:val="nil"/>
                    <w:tr2bl w:val="nil"/>
                  </w:tcBorders>
                  <w:vAlign w:val="center"/>
                </w:tcPr>
                <w:p w14:paraId="54603667">
                  <w:pPr>
                    <w:adjustRightInd w:val="0"/>
                    <w:snapToGrid w:val="0"/>
                    <w:spacing w:line="280" w:lineRule="exact"/>
                    <w:rPr>
                      <w:rFonts w:hint="default"/>
                      <w:color w:val="000000"/>
                      <w:highlight w:val="none"/>
                      <w:lang w:val="en-US" w:eastAsia="zh-CN"/>
                    </w:rPr>
                  </w:pPr>
                  <w:r>
                    <w:rPr>
                      <w:rFonts w:hint="default"/>
                      <w:color w:val="000000"/>
                      <w:highlight w:val="none"/>
                      <w:lang w:val="en-US" w:eastAsia="zh-CN"/>
                    </w:rPr>
                    <w:t>本项目污水处理依托公司现有污水处理站。经污水处理设备处理后的生产废水（检测废水除外）与生活污水均排入所在建筑已有防渗化粪池，再通过市政污水管网排入开发区东区污水处理厂。</w:t>
                  </w:r>
                </w:p>
              </w:tc>
              <w:tc>
                <w:tcPr>
                  <w:tcW w:w="461" w:type="pct"/>
                  <w:tcBorders>
                    <w:bottom w:val="single" w:color="auto" w:sz="4" w:space="0"/>
                    <w:tl2br w:val="nil"/>
                    <w:tr2bl w:val="nil"/>
                  </w:tcBorders>
                  <w:vAlign w:val="center"/>
                </w:tcPr>
                <w:p w14:paraId="2F0F406D">
                  <w:pPr>
                    <w:adjustRightInd w:val="0"/>
                    <w:snapToGrid w:val="0"/>
                    <w:spacing w:line="260" w:lineRule="exact"/>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无变化</w:t>
                  </w:r>
                </w:p>
              </w:tc>
            </w:tr>
            <w:bookmarkEnd w:id="10"/>
            <w:tr w14:paraId="72130DD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144" w:hRule="atLeast"/>
                <w:jc w:val="center"/>
              </w:trPr>
              <w:tc>
                <w:tcPr>
                  <w:tcW w:w="235" w:type="pct"/>
                  <w:vMerge w:val="continue"/>
                  <w:tcBorders>
                    <w:tl2br w:val="nil"/>
                    <w:tr2bl w:val="nil"/>
                  </w:tcBorders>
                  <w:vAlign w:val="center"/>
                </w:tcPr>
                <w:p w14:paraId="54023B68">
                  <w:pPr>
                    <w:adjustRightInd w:val="0"/>
                    <w:snapToGrid w:val="0"/>
                    <w:spacing w:line="260" w:lineRule="exact"/>
                    <w:jc w:val="both"/>
                    <w:rPr>
                      <w:rFonts w:hint="default" w:ascii="Times New Roman" w:hAnsi="Times New Roman" w:eastAsia="宋体" w:cs="Times New Roman"/>
                      <w:color w:val="000000" w:themeColor="text1"/>
                      <w:sz w:val="21"/>
                      <w:szCs w:val="21"/>
                      <w14:textFill>
                        <w14:solidFill>
                          <w14:schemeClr w14:val="tx1"/>
                        </w14:solidFill>
                      </w14:textFill>
                    </w:rPr>
                  </w:pPr>
                  <w:bookmarkStart w:id="11" w:name="_Hlk79503416"/>
                </w:p>
              </w:tc>
              <w:tc>
                <w:tcPr>
                  <w:tcW w:w="352" w:type="pct"/>
                  <w:tcBorders>
                    <w:tl2br w:val="nil"/>
                    <w:tr2bl w:val="nil"/>
                  </w:tcBorders>
                  <w:vAlign w:val="center"/>
                </w:tcPr>
                <w:p w14:paraId="363C2AD1">
                  <w:pPr>
                    <w:adjustRightInd w:val="0"/>
                    <w:snapToGrid w:val="0"/>
                    <w:spacing w:line="260" w:lineRule="exact"/>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噪声</w:t>
                  </w:r>
                </w:p>
              </w:tc>
              <w:tc>
                <w:tcPr>
                  <w:tcW w:w="1971" w:type="pct"/>
                  <w:tcBorders>
                    <w:tl2br w:val="nil"/>
                    <w:tr2bl w:val="nil"/>
                  </w:tcBorders>
                  <w:vAlign w:val="center"/>
                </w:tcPr>
                <w:p w14:paraId="25869278">
                  <w:pPr>
                    <w:rPr>
                      <w:rFonts w:hint="eastAsia" w:ascii="Times New Roman" w:hAnsi="Times New Roman" w:cs="Times New Roman" w:eastAsiaTheme="minorEastAsia"/>
                      <w:spacing w:val="-1"/>
                      <w:sz w:val="21"/>
                      <w:szCs w:val="21"/>
                      <w:highlight w:val="none"/>
                      <w:lang w:eastAsia="zh-CN"/>
                    </w:rPr>
                  </w:pPr>
                  <w:r>
                    <w:rPr>
                      <w:rFonts w:hint="eastAsia" w:ascii="Times New Roman" w:hAnsi="Times New Roman" w:eastAsia="宋体" w:cs="Times New Roman"/>
                      <w:spacing w:val="-1"/>
                      <w:sz w:val="21"/>
                      <w:szCs w:val="21"/>
                      <w:highlight w:val="none"/>
                      <w:lang w:val="en-US" w:eastAsia="zh-CN"/>
                    </w:rPr>
                    <w:t>本项目</w:t>
                  </w:r>
                  <w:r>
                    <w:rPr>
                      <w:rFonts w:hint="default" w:ascii="Times New Roman" w:hAnsi="Times New Roman" w:eastAsia="宋体" w:cs="Times New Roman"/>
                      <w:spacing w:val="-1"/>
                      <w:sz w:val="21"/>
                      <w:szCs w:val="21"/>
                      <w:highlight w:val="none"/>
                    </w:rPr>
                    <w:t>主要噪声源为</w:t>
                  </w:r>
                  <w:r>
                    <w:rPr>
                      <w:spacing w:val="-8"/>
                      <w:highlight w:val="none"/>
                    </w:rPr>
                    <w:t>空压机、空调外机、纯水机、离心机、风机等设备声音</w:t>
                  </w:r>
                  <w:r>
                    <w:rPr>
                      <w:rFonts w:hint="default" w:ascii="Times New Roman" w:hAnsi="Times New Roman" w:eastAsia="宋体" w:cs="Times New Roman"/>
                      <w:spacing w:val="-1"/>
                      <w:sz w:val="21"/>
                      <w:szCs w:val="21"/>
                      <w:highlight w:val="none"/>
                    </w:rPr>
                    <w:t>。</w:t>
                  </w:r>
                  <w:r>
                    <w:rPr>
                      <w:rFonts w:hint="eastAsia" w:ascii="Times New Roman" w:hAnsi="Times New Roman" w:eastAsia="宋体" w:cs="Times New Roman"/>
                      <w:spacing w:val="-1"/>
                      <w:sz w:val="21"/>
                      <w:szCs w:val="21"/>
                      <w:highlight w:val="none"/>
                      <w:lang w:val="en-US" w:eastAsia="zh-CN"/>
                    </w:rPr>
                    <w:t>本</w:t>
                  </w:r>
                  <w:r>
                    <w:rPr>
                      <w:spacing w:val="-11"/>
                      <w:highlight w:val="none"/>
                    </w:rPr>
                    <w:t>项目室内设备选取低噪声设备</w:t>
                  </w:r>
                  <w:r>
                    <w:rPr>
                      <w:rFonts w:hint="eastAsia"/>
                      <w:spacing w:val="-11"/>
                      <w:highlight w:val="none"/>
                      <w:lang w:eastAsia="zh-CN"/>
                    </w:rPr>
                    <w:t>，</w:t>
                  </w:r>
                  <w:r>
                    <w:rPr>
                      <w:spacing w:val="-3"/>
                      <w:highlight w:val="none"/>
                    </w:rPr>
                    <w:t>针对主要产噪设备采取隔声、基础</w:t>
                  </w:r>
                  <w:r>
                    <w:rPr>
                      <w:spacing w:val="-12"/>
                      <w:highlight w:val="none"/>
                    </w:rPr>
                    <w:t>减震等措施</w:t>
                  </w:r>
                  <w:r>
                    <w:rPr>
                      <w:rFonts w:hint="eastAsia"/>
                      <w:spacing w:val="-12"/>
                      <w:highlight w:val="none"/>
                      <w:lang w:eastAsia="zh-CN"/>
                    </w:rPr>
                    <w:t>。</w:t>
                  </w:r>
                </w:p>
              </w:tc>
              <w:tc>
                <w:tcPr>
                  <w:tcW w:w="1979" w:type="pct"/>
                  <w:tcBorders>
                    <w:tl2br w:val="nil"/>
                    <w:tr2bl w:val="nil"/>
                  </w:tcBorders>
                  <w:shd w:val="clear" w:color="auto" w:fill="auto"/>
                  <w:vAlign w:val="center"/>
                </w:tcPr>
                <w:p w14:paraId="36D63623">
                  <w:pPr>
                    <w:bidi w:val="0"/>
                    <w:jc w:val="both"/>
                    <w:rPr>
                      <w:rFonts w:hint="default" w:ascii="Times New Roman" w:hAnsi="Times New Roman" w:eastAsia="宋体" w:cs="Times New Roman"/>
                      <w:color w:val="000000" w:themeColor="text1"/>
                      <w:kern w:val="0"/>
                      <w:sz w:val="21"/>
                      <w:szCs w:val="21"/>
                      <w:highlight w:val="none"/>
                      <w:lang w:val="en-US" w:eastAsia="zh-CN" w:bidi="ar-SA"/>
                      <w14:textFill>
                        <w14:solidFill>
                          <w14:schemeClr w14:val="tx1"/>
                        </w14:solidFill>
                      </w14:textFill>
                    </w:rPr>
                  </w:pPr>
                  <w:r>
                    <w:rPr>
                      <w:rFonts w:hint="eastAsia" w:ascii="Times New Roman" w:hAnsi="Times New Roman" w:eastAsia="宋体" w:cs="Times New Roman"/>
                      <w:spacing w:val="-1"/>
                      <w:sz w:val="21"/>
                      <w:szCs w:val="21"/>
                      <w:highlight w:val="none"/>
                      <w:lang w:val="en-US" w:eastAsia="zh-CN"/>
                    </w:rPr>
                    <w:t>本项目</w:t>
                  </w:r>
                  <w:r>
                    <w:rPr>
                      <w:rFonts w:hint="default" w:ascii="Times New Roman" w:hAnsi="Times New Roman" w:eastAsia="宋体" w:cs="Times New Roman"/>
                      <w:spacing w:val="-1"/>
                      <w:sz w:val="21"/>
                      <w:szCs w:val="21"/>
                      <w:highlight w:val="none"/>
                    </w:rPr>
                    <w:t>主要噪声源为</w:t>
                  </w:r>
                  <w:r>
                    <w:rPr>
                      <w:spacing w:val="-8"/>
                      <w:highlight w:val="none"/>
                    </w:rPr>
                    <w:t>空压机、空调外机、离心机、风机等设备声音</w:t>
                  </w:r>
                  <w:r>
                    <w:rPr>
                      <w:rFonts w:hint="default" w:ascii="Times New Roman" w:hAnsi="Times New Roman" w:eastAsia="宋体" w:cs="Times New Roman"/>
                      <w:spacing w:val="-1"/>
                      <w:sz w:val="21"/>
                      <w:szCs w:val="21"/>
                      <w:highlight w:val="none"/>
                    </w:rPr>
                    <w:t>。</w:t>
                  </w:r>
                  <w:r>
                    <w:rPr>
                      <w:rFonts w:hint="eastAsia" w:ascii="Times New Roman" w:hAnsi="Times New Roman" w:eastAsia="宋体" w:cs="Times New Roman"/>
                      <w:spacing w:val="-1"/>
                      <w:sz w:val="21"/>
                      <w:szCs w:val="21"/>
                      <w:highlight w:val="none"/>
                      <w:lang w:val="en-US" w:eastAsia="zh-CN"/>
                    </w:rPr>
                    <w:t>本</w:t>
                  </w:r>
                  <w:r>
                    <w:rPr>
                      <w:spacing w:val="-11"/>
                      <w:highlight w:val="none"/>
                    </w:rPr>
                    <w:t>项目室内设备选取低噪声设备</w:t>
                  </w:r>
                  <w:r>
                    <w:rPr>
                      <w:rFonts w:hint="eastAsia"/>
                      <w:spacing w:val="-11"/>
                      <w:highlight w:val="none"/>
                      <w:lang w:eastAsia="zh-CN"/>
                    </w:rPr>
                    <w:t>，</w:t>
                  </w:r>
                  <w:r>
                    <w:rPr>
                      <w:spacing w:val="-3"/>
                      <w:highlight w:val="none"/>
                    </w:rPr>
                    <w:t>针对主要产噪设备采取隔声、基础</w:t>
                  </w:r>
                  <w:r>
                    <w:rPr>
                      <w:spacing w:val="-12"/>
                      <w:highlight w:val="none"/>
                    </w:rPr>
                    <w:t>减震等措施</w:t>
                  </w:r>
                  <w:r>
                    <w:rPr>
                      <w:rFonts w:hint="eastAsia"/>
                      <w:spacing w:val="-12"/>
                      <w:highlight w:val="none"/>
                      <w:lang w:eastAsia="zh-CN"/>
                    </w:rPr>
                    <w:t>。</w:t>
                  </w:r>
                </w:p>
              </w:tc>
              <w:tc>
                <w:tcPr>
                  <w:tcW w:w="461" w:type="pct"/>
                  <w:tcBorders>
                    <w:tl2br w:val="nil"/>
                    <w:tr2bl w:val="nil"/>
                  </w:tcBorders>
                  <w:vAlign w:val="center"/>
                </w:tcPr>
                <w:p w14:paraId="5257B025">
                  <w:pPr>
                    <w:adjustRightInd w:val="0"/>
                    <w:snapToGrid w:val="0"/>
                    <w:spacing w:line="260" w:lineRule="exact"/>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无变化</w:t>
                  </w:r>
                </w:p>
              </w:tc>
            </w:tr>
            <w:bookmarkEnd w:id="11"/>
            <w:tr w14:paraId="52DC5A5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76" w:hRule="atLeast"/>
                <w:jc w:val="center"/>
              </w:trPr>
              <w:tc>
                <w:tcPr>
                  <w:tcW w:w="235" w:type="pct"/>
                  <w:vMerge w:val="continue"/>
                  <w:tcBorders>
                    <w:tl2br w:val="nil"/>
                    <w:tr2bl w:val="nil"/>
                  </w:tcBorders>
                  <w:vAlign w:val="center"/>
                </w:tcPr>
                <w:p w14:paraId="26A2981C">
                  <w:pPr>
                    <w:adjustRightInd w:val="0"/>
                    <w:snapToGrid w:val="0"/>
                    <w:spacing w:line="260" w:lineRule="exact"/>
                    <w:jc w:val="both"/>
                    <w:rPr>
                      <w:rFonts w:hint="default" w:ascii="Times New Roman" w:hAnsi="Times New Roman" w:eastAsia="宋体" w:cs="Times New Roman"/>
                      <w:color w:val="000000" w:themeColor="text1"/>
                      <w:sz w:val="21"/>
                      <w:szCs w:val="21"/>
                      <w14:textFill>
                        <w14:solidFill>
                          <w14:schemeClr w14:val="tx1"/>
                        </w14:solidFill>
                      </w14:textFill>
                    </w:rPr>
                  </w:pPr>
                </w:p>
              </w:tc>
              <w:tc>
                <w:tcPr>
                  <w:tcW w:w="352" w:type="pct"/>
                  <w:tcBorders>
                    <w:tl2br w:val="nil"/>
                    <w:tr2bl w:val="nil"/>
                  </w:tcBorders>
                  <w:vAlign w:val="center"/>
                </w:tcPr>
                <w:p w14:paraId="6BE76B0D">
                  <w:pPr>
                    <w:adjustRightInd w:val="0"/>
                    <w:snapToGrid w:val="0"/>
                    <w:spacing w:line="260" w:lineRule="exact"/>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固体</w:t>
                  </w:r>
                </w:p>
                <w:p w14:paraId="48F5232C">
                  <w:pPr>
                    <w:adjustRightInd w:val="0"/>
                    <w:snapToGrid w:val="0"/>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废物</w:t>
                  </w:r>
                </w:p>
              </w:tc>
              <w:tc>
                <w:tcPr>
                  <w:tcW w:w="1971" w:type="pct"/>
                  <w:tcBorders>
                    <w:tl2br w:val="nil"/>
                    <w:tr2bl w:val="nil"/>
                  </w:tcBorders>
                  <w:vAlign w:val="center"/>
                </w:tcPr>
                <w:p w14:paraId="2914BA93">
                  <w:pPr>
                    <w:widowControl/>
                    <w:adjustRightInd w:val="0"/>
                    <w:snapToGrid w:val="0"/>
                    <w:spacing w:line="260" w:lineRule="exact"/>
                    <w:jc w:val="both"/>
                    <w:rPr>
                      <w:rFonts w:hint="eastAsia" w:ascii="Times New Roman" w:hAnsi="Times New Roman" w:eastAsia="宋体" w:cs="Times New Roman"/>
                      <w:color w:val="000000" w:themeColor="text1"/>
                      <w:kern w:val="0"/>
                      <w:sz w:val="21"/>
                      <w:szCs w:val="21"/>
                      <w:highlight w:val="none"/>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highlight w:val="none"/>
                      <w:lang w:val="en-US" w:eastAsia="zh-CN"/>
                      <w14:textFill>
                        <w14:solidFill>
                          <w14:schemeClr w14:val="tx1"/>
                        </w14:solidFill>
                      </w14:textFill>
                    </w:rPr>
                    <w:t>本项目生</w:t>
                  </w:r>
                  <w:r>
                    <w:rPr>
                      <w:rFonts w:hint="default" w:ascii="Times New Roman" w:hAnsi="Times New Roman" w:eastAsia="宋体" w:cs="Times New Roman"/>
                      <w:color w:val="000000" w:themeColor="text1"/>
                      <w:kern w:val="0"/>
                      <w:sz w:val="21"/>
                      <w:szCs w:val="21"/>
                      <w:highlight w:val="none"/>
                      <w14:textFill>
                        <w14:solidFill>
                          <w14:schemeClr w14:val="tx1"/>
                        </w14:solidFill>
                      </w14:textFill>
                    </w:rPr>
                    <w:t>活垃圾</w:t>
                  </w:r>
                  <w:r>
                    <w:rPr>
                      <w:rFonts w:hint="eastAsia" w:ascii="Times New Roman" w:hAnsi="Times New Roman" w:cs="Times New Roman" w:eastAsiaTheme="minorEastAsia"/>
                      <w:color w:val="000000"/>
                      <w:sz w:val="21"/>
                      <w:szCs w:val="21"/>
                      <w:highlight w:val="none"/>
                      <w:lang w:val="zh-TW" w:eastAsia="zh-CN"/>
                    </w:rPr>
                    <w:t>经分类收集后，</w:t>
                  </w:r>
                  <w:r>
                    <w:rPr>
                      <w:rFonts w:hint="default" w:ascii="Times New Roman" w:hAnsi="Times New Roman" w:cs="Times New Roman" w:eastAsiaTheme="minorEastAsia"/>
                      <w:color w:val="000000"/>
                      <w:sz w:val="21"/>
                      <w:szCs w:val="21"/>
                      <w:highlight w:val="none"/>
                      <w:lang w:val="en-US" w:eastAsia="zh-CN"/>
                    </w:rPr>
                    <w:t>定期由环卫部门</w:t>
                  </w:r>
                  <w:r>
                    <w:rPr>
                      <w:rFonts w:hint="default" w:ascii="Times New Roman" w:hAnsi="Times New Roman" w:eastAsia="宋体" w:cs="Times New Roman"/>
                      <w:color w:val="000000" w:themeColor="text1"/>
                      <w:kern w:val="0"/>
                      <w:sz w:val="21"/>
                      <w:szCs w:val="21"/>
                      <w:highlight w:val="none"/>
                      <w:lang w:val="en-US" w:eastAsia="zh-CN"/>
                      <w14:textFill>
                        <w14:solidFill>
                          <w14:schemeClr w14:val="tx1"/>
                        </w14:solidFill>
                      </w14:textFill>
                    </w:rPr>
                    <w:t>负责清运</w:t>
                  </w:r>
                  <w:r>
                    <w:rPr>
                      <w:rFonts w:hint="eastAsia" w:ascii="Times New Roman" w:hAnsi="Times New Roman" w:eastAsia="宋体" w:cs="Times New Roman"/>
                      <w:color w:val="000000" w:themeColor="text1"/>
                      <w:kern w:val="0"/>
                      <w:sz w:val="21"/>
                      <w:szCs w:val="21"/>
                      <w:highlight w:val="none"/>
                      <w:lang w:val="en-US" w:eastAsia="zh-CN"/>
                      <w14:textFill>
                        <w14:solidFill>
                          <w14:schemeClr w14:val="tx1"/>
                        </w14:solidFill>
                      </w14:textFill>
                    </w:rPr>
                    <w:t>、处理。</w:t>
                  </w:r>
                </w:p>
                <w:p w14:paraId="0B287248">
                  <w:pPr>
                    <w:widowControl/>
                    <w:adjustRightInd w:val="0"/>
                    <w:snapToGrid w:val="0"/>
                    <w:spacing w:line="260" w:lineRule="exact"/>
                    <w:jc w:val="both"/>
                    <w:rPr>
                      <w:rFonts w:hint="default" w:ascii="Times New Roman" w:hAnsi="Times New Roman" w:eastAsia="宋体" w:cs="Times New Roman"/>
                      <w:color w:val="000000" w:themeColor="text1"/>
                      <w:kern w:val="0"/>
                      <w:sz w:val="21"/>
                      <w:szCs w:val="21"/>
                      <w:highlight w:val="no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highlight w:val="none"/>
                      <w:lang w:val="en-US" w:eastAsia="zh-CN"/>
                      <w14:textFill>
                        <w14:solidFill>
                          <w14:schemeClr w14:val="tx1"/>
                        </w14:solidFill>
                      </w14:textFill>
                    </w:rPr>
                    <w:t>2、</w:t>
                  </w:r>
                  <w:r>
                    <w:rPr>
                      <w:rFonts w:hint="default" w:ascii="Times New Roman" w:hAnsi="Times New Roman" w:eastAsia="宋体" w:cs="Times New Roman"/>
                      <w:color w:val="000000" w:themeColor="text1"/>
                      <w:kern w:val="0"/>
                      <w:sz w:val="21"/>
                      <w:szCs w:val="21"/>
                      <w:highlight w:val="none"/>
                      <w:lang w:val="en-US" w:eastAsia="zh-CN"/>
                      <w14:textFill>
                        <w14:solidFill>
                          <w14:schemeClr w14:val="tx1"/>
                        </w14:solidFill>
                      </w14:textFill>
                    </w:rPr>
                    <w:t>一般工业固体废物</w:t>
                  </w:r>
                  <w:r>
                    <w:rPr>
                      <w:rFonts w:hint="eastAsia" w:ascii="Times New Roman" w:hAnsi="Times New Roman" w:eastAsia="宋体" w:cs="Times New Roman"/>
                      <w:color w:val="000000" w:themeColor="text1"/>
                      <w:kern w:val="0"/>
                      <w:sz w:val="21"/>
                      <w:szCs w:val="21"/>
                      <w:highlight w:val="none"/>
                      <w:lang w:val="zh-TW" w:eastAsia="zh-CN"/>
                      <w14:textFill>
                        <w14:solidFill>
                          <w14:schemeClr w14:val="tx1"/>
                        </w14:solidFill>
                      </w14:textFill>
                    </w:rPr>
                    <w:t>主要</w:t>
                  </w:r>
                  <w:r>
                    <w:rPr>
                      <w:rFonts w:hint="default" w:ascii="Times New Roman" w:hAnsi="Times New Roman" w:eastAsia="宋体" w:cs="Times New Roman"/>
                      <w:color w:val="000000" w:themeColor="text1"/>
                      <w:kern w:val="0"/>
                      <w:sz w:val="21"/>
                      <w:szCs w:val="21"/>
                      <w:highlight w:val="none"/>
                      <w14:textFill>
                        <w14:solidFill>
                          <w14:schemeClr w14:val="tx1"/>
                        </w14:solidFill>
                      </w14:textFill>
                    </w:rPr>
                    <w:t>包括各种废弃的包装材料</w:t>
                  </w:r>
                  <w:r>
                    <w:rPr>
                      <w:rFonts w:hint="eastAsia" w:ascii="Times New Roman" w:hAnsi="Times New Roman" w:eastAsia="宋体" w:cs="Times New Roman"/>
                      <w:color w:val="000000" w:themeColor="text1"/>
                      <w:kern w:val="0"/>
                      <w:sz w:val="21"/>
                      <w:szCs w:val="21"/>
                      <w:highlight w:val="none"/>
                      <w:lang w:val="zh-TW" w:eastAsia="zh-CN"/>
                      <w14:textFill>
                        <w14:solidFill>
                          <w14:schemeClr w14:val="tx1"/>
                        </w14:solidFill>
                      </w14:textFill>
                    </w:rPr>
                    <w:t>，经收集后</w:t>
                  </w:r>
                  <w:r>
                    <w:rPr>
                      <w:rFonts w:hint="default" w:ascii="Times New Roman" w:hAnsi="Times New Roman" w:eastAsia="宋体" w:cs="Times New Roman"/>
                      <w:color w:val="000000" w:themeColor="text1"/>
                      <w:kern w:val="0"/>
                      <w:sz w:val="21"/>
                      <w:szCs w:val="21"/>
                      <w:highlight w:val="none"/>
                      <w:lang w:val="en-US" w:eastAsia="zh-CN"/>
                      <w14:textFill>
                        <w14:solidFill>
                          <w14:schemeClr w14:val="tx1"/>
                        </w14:solidFill>
                      </w14:textFill>
                    </w:rPr>
                    <w:t>定期由环卫部门负责清运</w:t>
                  </w:r>
                  <w:r>
                    <w:rPr>
                      <w:rFonts w:hint="eastAsia" w:ascii="Times New Roman" w:hAnsi="Times New Roman" w:eastAsia="宋体" w:cs="Times New Roman"/>
                      <w:color w:val="000000" w:themeColor="text1"/>
                      <w:kern w:val="0"/>
                      <w:sz w:val="21"/>
                      <w:szCs w:val="21"/>
                      <w:highlight w:val="none"/>
                      <w:lang w:val="en-US" w:eastAsia="zh-CN"/>
                      <w14:textFill>
                        <w14:solidFill>
                          <w14:schemeClr w14:val="tx1"/>
                        </w14:solidFill>
                      </w14:textFill>
                    </w:rPr>
                    <w:t>、处理。</w:t>
                  </w:r>
                </w:p>
                <w:p w14:paraId="43358E58">
                  <w:pPr>
                    <w:widowControl/>
                    <w:adjustRightInd w:val="0"/>
                    <w:snapToGrid w:val="0"/>
                    <w:spacing w:line="260" w:lineRule="exact"/>
                    <w:jc w:val="both"/>
                    <w:rPr>
                      <w:rFonts w:hint="default" w:ascii="Times New Roman" w:hAnsi="Times New Roman" w:eastAsia="宋体" w:cs="Times New Roman"/>
                      <w:color w:val="000000" w:themeColor="text1"/>
                      <w:kern w:val="0"/>
                      <w:sz w:val="21"/>
                      <w:szCs w:val="21"/>
                      <w:highlight w:val="none"/>
                      <w14:textFill>
                        <w14:solidFill>
                          <w14:schemeClr w14:val="tx1"/>
                        </w14:solidFill>
                      </w14:textFill>
                    </w:rPr>
                  </w:pPr>
                  <w:r>
                    <w:rPr>
                      <w:rFonts w:hint="eastAsia" w:ascii="Times New Roman" w:hAnsi="Times New Roman" w:eastAsia="宋体" w:cs="Times New Roman"/>
                      <w:color w:val="000000" w:themeColor="text1"/>
                      <w:kern w:val="0"/>
                      <w:sz w:val="21"/>
                      <w:szCs w:val="21"/>
                      <w:highlight w:val="none"/>
                      <w:lang w:val="en-US" w:eastAsia="zh-CN"/>
                      <w14:textFill>
                        <w14:solidFill>
                          <w14:schemeClr w14:val="tx1"/>
                        </w14:solidFill>
                      </w14:textFill>
                    </w:rPr>
                    <w:t>3、</w:t>
                  </w:r>
                  <w:r>
                    <w:rPr>
                      <w:rFonts w:hint="default" w:ascii="Times New Roman" w:hAnsi="Times New Roman" w:eastAsia="宋体" w:cs="Times New Roman"/>
                      <w:color w:val="000000" w:themeColor="text1"/>
                      <w:kern w:val="0"/>
                      <w:sz w:val="21"/>
                      <w:szCs w:val="21"/>
                      <w:highlight w:val="none"/>
                      <w:lang w:val="en-US" w:eastAsia="zh-CN"/>
                      <w14:textFill>
                        <w14:solidFill>
                          <w14:schemeClr w14:val="tx1"/>
                        </w14:solidFill>
                      </w14:textFill>
                    </w:rPr>
                    <w:t>本项目</w:t>
                  </w:r>
                  <w:r>
                    <w:rPr>
                      <w:rFonts w:hint="default" w:ascii="Times New Roman" w:hAnsi="Times New Roman" w:eastAsia="宋体" w:cs="Times New Roman"/>
                      <w:color w:val="000000" w:themeColor="text1"/>
                      <w:kern w:val="0"/>
                      <w:sz w:val="21"/>
                      <w:szCs w:val="21"/>
                      <w:highlight w:val="none"/>
                      <w14:textFill>
                        <w14:solidFill>
                          <w14:schemeClr w14:val="tx1"/>
                        </w14:solidFill>
                      </w14:textFill>
                    </w:rPr>
                    <w:t>危险废物</w:t>
                  </w:r>
                  <w:r>
                    <w:rPr>
                      <w:rFonts w:hint="default" w:ascii="Times New Roman" w:hAnsi="Times New Roman" w:eastAsia="宋体" w:cs="Times New Roman"/>
                      <w:color w:val="000000" w:themeColor="text1"/>
                      <w:kern w:val="0"/>
                      <w:sz w:val="21"/>
                      <w:szCs w:val="21"/>
                      <w:highlight w:val="none"/>
                      <w:lang w:val="en-US" w:eastAsia="zh-CN"/>
                      <w14:textFill>
                        <w14:solidFill>
                          <w14:schemeClr w14:val="tx1"/>
                        </w14:solidFill>
                      </w14:textFill>
                    </w:rPr>
                    <w:t>废</w:t>
                  </w:r>
                  <w:r>
                    <w:rPr>
                      <w:rFonts w:hint="eastAsia" w:ascii="Times New Roman" w:hAnsi="Times New Roman" w:eastAsia="宋体" w:cs="Times New Roman"/>
                      <w:color w:val="000000" w:themeColor="text1"/>
                      <w:kern w:val="0"/>
                      <w:sz w:val="21"/>
                      <w:szCs w:val="21"/>
                      <w:highlight w:val="none"/>
                      <w:lang w:val="zh-TW" w:eastAsia="zh-CN"/>
                      <w14:textFill>
                        <w14:solidFill>
                          <w14:schemeClr w14:val="tx1"/>
                        </w14:solidFill>
                      </w14:textFill>
                    </w:rPr>
                    <w:t>主要是</w:t>
                  </w:r>
                  <w:r>
                    <w:rPr>
                      <w:rFonts w:hint="default" w:ascii="Times New Roman" w:hAnsi="Times New Roman" w:eastAsia="宋体" w:cs="Times New Roman"/>
                      <w:color w:val="000000" w:themeColor="text1"/>
                      <w:kern w:val="0"/>
                      <w:sz w:val="21"/>
                      <w:szCs w:val="21"/>
                      <w:highlight w:val="none"/>
                      <w14:textFill>
                        <w14:solidFill>
                          <w14:schemeClr w14:val="tx1"/>
                        </w14:solidFill>
                      </w14:textFill>
                    </w:rPr>
                    <w:t>实验过程中产生的废化学试剂</w:t>
                  </w:r>
                  <w:r>
                    <w:rPr>
                      <w:rFonts w:hint="eastAsia" w:ascii="Times New Roman" w:hAnsi="Times New Roman" w:eastAsia="宋体" w:cs="Times New Roman"/>
                      <w:color w:val="000000" w:themeColor="text1"/>
                      <w:kern w:val="0"/>
                      <w:sz w:val="21"/>
                      <w:szCs w:val="21"/>
                      <w:highlight w:val="none"/>
                      <w:lang w:val="en-US" w:eastAsia="zh-CN"/>
                      <w14:textFill>
                        <w14:solidFill>
                          <w14:schemeClr w14:val="tx1"/>
                        </w14:solidFill>
                      </w14:textFill>
                    </w:rPr>
                    <w:t>，</w:t>
                  </w:r>
                  <w:r>
                    <w:rPr>
                      <w:rFonts w:hint="default" w:ascii="Times New Roman" w:hAnsi="Times New Roman" w:eastAsia="宋体" w:cs="Times New Roman"/>
                      <w:color w:val="000000" w:themeColor="text1"/>
                      <w:kern w:val="0"/>
                      <w:sz w:val="21"/>
                      <w:szCs w:val="21"/>
                      <w:highlight w:val="none"/>
                      <w14:textFill>
                        <w14:solidFill>
                          <w14:schemeClr w14:val="tx1"/>
                        </w14:solidFill>
                      </w14:textFill>
                    </w:rPr>
                    <w:t>检测过程中产生的检测废水</w:t>
                  </w:r>
                  <w:r>
                    <w:rPr>
                      <w:rFonts w:hint="eastAsia" w:ascii="Times New Roman" w:hAnsi="Times New Roman" w:eastAsia="宋体" w:cs="Times New Roman"/>
                      <w:color w:val="000000" w:themeColor="text1"/>
                      <w:kern w:val="0"/>
                      <w:sz w:val="21"/>
                      <w:szCs w:val="21"/>
                      <w:highlight w:val="none"/>
                      <w:lang w:eastAsia="zh-CN"/>
                      <w14:textFill>
                        <w14:solidFill>
                          <w14:schemeClr w14:val="tx1"/>
                        </w14:solidFill>
                      </w14:textFill>
                    </w:rPr>
                    <w:t>，</w:t>
                  </w:r>
                  <w:r>
                    <w:rPr>
                      <w:rFonts w:hint="default" w:ascii="Times New Roman" w:hAnsi="Times New Roman" w:eastAsia="宋体" w:cs="Times New Roman"/>
                      <w:color w:val="000000" w:themeColor="text1"/>
                      <w:kern w:val="0"/>
                      <w:sz w:val="21"/>
                      <w:szCs w:val="21"/>
                      <w:highlight w:val="none"/>
                      <w14:textFill>
                        <w14:solidFill>
                          <w14:schemeClr w14:val="tx1"/>
                        </w14:solidFill>
                      </w14:textFill>
                    </w:rPr>
                    <w:t>废气处理装置定期产生的废活性炭，实验过程中所用或者产生的废试剂瓶、一次性口罩、手套、废培养基、废移液枪头等</w:t>
                  </w:r>
                  <w:r>
                    <w:rPr>
                      <w:rFonts w:hint="eastAsia" w:ascii="Times New Roman" w:hAnsi="Times New Roman" w:cs="Times New Roman" w:eastAsiaTheme="minorEastAsia"/>
                      <w:color w:val="000000"/>
                      <w:sz w:val="21"/>
                      <w:szCs w:val="21"/>
                      <w:highlight w:val="none"/>
                      <w:lang w:val="en-US" w:eastAsia="zh-CN"/>
                    </w:rPr>
                    <w:t>，收集后</w:t>
                  </w:r>
                  <w:r>
                    <w:rPr>
                      <w:rFonts w:hint="eastAsia" w:ascii="Times New Roman" w:hAnsi="Times New Roman" w:cs="Times New Roman" w:eastAsiaTheme="minorEastAsia"/>
                      <w:color w:val="000000"/>
                      <w:sz w:val="21"/>
                      <w:szCs w:val="21"/>
                      <w:highlight w:val="none"/>
                      <w:lang w:val="zh-TW" w:eastAsia="zh-CN"/>
                    </w:rPr>
                    <w:t>暂存于危废暂存间内</w:t>
                  </w:r>
                  <w:r>
                    <w:rPr>
                      <w:rFonts w:hint="default" w:ascii="Times New Roman" w:hAnsi="Times New Roman" w:eastAsia="宋体" w:cs="Times New Roman"/>
                      <w:color w:val="000000" w:themeColor="text1"/>
                      <w:kern w:val="0"/>
                      <w:sz w:val="21"/>
                      <w:szCs w:val="21"/>
                      <w:highlight w:val="none"/>
                      <w:lang w:val="en-US" w:eastAsia="zh-CN"/>
                      <w14:textFill>
                        <w14:solidFill>
                          <w14:schemeClr w14:val="tx1"/>
                        </w14:solidFill>
                      </w14:textFill>
                    </w:rPr>
                    <w:t>，定期交由危险废</w:t>
                  </w:r>
                  <w:r>
                    <w:rPr>
                      <w:rFonts w:hint="default" w:ascii="Times New Roman" w:hAnsi="Times New Roman" w:eastAsia="宋体" w:cs="Times New Roman"/>
                      <w:spacing w:val="-1"/>
                      <w:sz w:val="21"/>
                      <w:szCs w:val="21"/>
                      <w:highlight w:val="none"/>
                      <w:lang w:val="en-US" w:eastAsia="zh-CN"/>
                    </w:rPr>
                    <w:t>物处置资质单位处理，</w:t>
                  </w:r>
                  <w:r>
                    <w:rPr>
                      <w:rFonts w:hint="default" w:ascii="Times New Roman" w:hAnsi="Times New Roman" w:eastAsia="宋体" w:cs="Times New Roman"/>
                      <w:color w:val="000000" w:themeColor="text1"/>
                      <w:kern w:val="0"/>
                      <w:sz w:val="21"/>
                      <w:szCs w:val="21"/>
                      <w:highlight w:val="none"/>
                      <w14:textFill>
                        <w14:solidFill>
                          <w14:schemeClr w14:val="tx1"/>
                        </w14:solidFill>
                      </w14:textFill>
                    </w:rPr>
                    <w:t>执行北京危险废物转移联单制度。危险的贮存应遵循《危险废物贮存污染控制标准》中的有关规定。同时建设单位须制定危险废物管理计划，报开发区有关部门备案。</w:t>
                  </w:r>
                </w:p>
              </w:tc>
              <w:tc>
                <w:tcPr>
                  <w:tcW w:w="1979" w:type="pct"/>
                  <w:tcBorders>
                    <w:tl2br w:val="nil"/>
                    <w:tr2bl w:val="nil"/>
                  </w:tcBorders>
                  <w:vAlign w:val="center"/>
                </w:tcPr>
                <w:p w14:paraId="7DD8BCCC">
                  <w:pPr>
                    <w:bidi w:val="0"/>
                    <w:jc w:val="both"/>
                    <w:rPr>
                      <w:rFonts w:hint="default"/>
                      <w:color w:val="000000"/>
                      <w:highlight w:val="none"/>
                      <w:lang w:val="en-US" w:eastAsia="zh-CN"/>
                    </w:rPr>
                  </w:pPr>
                  <w:r>
                    <w:rPr>
                      <w:rFonts w:hint="default" w:ascii="Times New Roman" w:hAnsi="Times New Roman" w:eastAsia="宋体" w:cs="Times New Roman"/>
                      <w:color w:val="000000" w:themeColor="text1"/>
                      <w:kern w:val="0"/>
                      <w:sz w:val="21"/>
                      <w:szCs w:val="21"/>
                      <w:highlight w:val="none"/>
                      <w:lang w:val="en-US" w:eastAsia="zh-CN"/>
                      <w14:textFill>
                        <w14:solidFill>
                          <w14:schemeClr w14:val="tx1"/>
                        </w14:solidFill>
                      </w14:textFill>
                    </w:rPr>
                    <w:t>1、本</w:t>
                  </w:r>
                  <w:r>
                    <w:rPr>
                      <w:rFonts w:hint="default"/>
                      <w:color w:val="000000"/>
                      <w:highlight w:val="none"/>
                      <w:lang w:val="en-US" w:eastAsia="zh-CN"/>
                    </w:rPr>
                    <w:t>项目生活垃圾</w:t>
                  </w:r>
                  <w:r>
                    <w:rPr>
                      <w:rFonts w:hint="eastAsia"/>
                      <w:color w:val="000000"/>
                      <w:highlight w:val="none"/>
                      <w:lang w:val="zh-TW" w:eastAsia="zh-CN"/>
                    </w:rPr>
                    <w:t>经分类收集后，</w:t>
                  </w:r>
                  <w:r>
                    <w:rPr>
                      <w:rFonts w:hint="eastAsia"/>
                      <w:color w:val="000000"/>
                      <w:highlight w:val="none"/>
                      <w:lang w:val="en-US" w:eastAsia="zh-CN"/>
                    </w:rPr>
                    <w:t>转运至园区垃圾站，物业委托环卫机构定期清运。</w:t>
                  </w:r>
                </w:p>
                <w:p w14:paraId="7B370CE7">
                  <w:pPr>
                    <w:bidi w:val="0"/>
                    <w:jc w:val="both"/>
                    <w:rPr>
                      <w:rFonts w:hint="default"/>
                      <w:color w:val="000000"/>
                      <w:highlight w:val="none"/>
                      <w:lang w:val="en-US" w:eastAsia="zh-CN"/>
                    </w:rPr>
                  </w:pPr>
                  <w:r>
                    <w:rPr>
                      <w:rFonts w:hint="default"/>
                      <w:color w:val="000000"/>
                      <w:highlight w:val="none"/>
                      <w:lang w:val="en-US" w:eastAsia="zh-CN"/>
                    </w:rPr>
                    <w:t>2、一般工业固体废物</w:t>
                  </w:r>
                  <w:r>
                    <w:rPr>
                      <w:rFonts w:hint="eastAsia"/>
                      <w:color w:val="000000"/>
                      <w:highlight w:val="none"/>
                      <w:lang w:val="zh-TW" w:eastAsia="zh-CN"/>
                    </w:rPr>
                    <w:t>主要</w:t>
                  </w:r>
                  <w:r>
                    <w:rPr>
                      <w:rFonts w:hint="eastAsia"/>
                      <w:color w:val="000000"/>
                      <w:highlight w:val="none"/>
                      <w:lang w:val="en-US" w:eastAsia="zh-CN"/>
                    </w:rPr>
                    <w:t>包括各种废弃的包装材料</w:t>
                  </w:r>
                  <w:r>
                    <w:rPr>
                      <w:rFonts w:hint="eastAsia"/>
                      <w:color w:val="000000"/>
                      <w:highlight w:val="none"/>
                      <w:lang w:val="zh-TW" w:eastAsia="zh-CN"/>
                    </w:rPr>
                    <w:t>，</w:t>
                  </w:r>
                  <w:r>
                    <w:rPr>
                      <w:rFonts w:hint="eastAsia"/>
                      <w:color w:val="000000"/>
                      <w:highlight w:val="none"/>
                      <w:lang w:val="en-US" w:eastAsia="zh-CN"/>
                    </w:rPr>
                    <w:t>转运至园区垃圾站，物业委托环卫机构定期清运。</w:t>
                  </w:r>
                </w:p>
                <w:p w14:paraId="2E6378FF">
                  <w:pPr>
                    <w:bidi w:val="0"/>
                    <w:jc w:val="both"/>
                    <w:rPr>
                      <w:rFonts w:hint="eastAsia" w:ascii="Times New Roman" w:hAnsi="Times New Roman" w:eastAsiaTheme="minorEastAsia"/>
                      <w:color w:val="000000"/>
                      <w:sz w:val="21"/>
                      <w:szCs w:val="21"/>
                      <w:highlight w:val="yellow"/>
                      <w:lang w:val="zh-TW"/>
                    </w:rPr>
                  </w:pPr>
                  <w:r>
                    <w:rPr>
                      <w:rFonts w:hint="default"/>
                      <w:color w:val="000000"/>
                      <w:highlight w:val="none"/>
                      <w:lang w:val="en-US" w:eastAsia="zh-CN"/>
                    </w:rPr>
                    <w:t>3、本项目危险废物废</w:t>
                  </w:r>
                  <w:r>
                    <w:rPr>
                      <w:rFonts w:hint="eastAsia"/>
                      <w:color w:val="000000"/>
                      <w:highlight w:val="none"/>
                      <w:lang w:val="zh-TW" w:eastAsia="zh-CN"/>
                    </w:rPr>
                    <w:t>主要是</w:t>
                  </w:r>
                  <w:r>
                    <w:rPr>
                      <w:rFonts w:hint="default"/>
                      <w:color w:val="000000"/>
                      <w:highlight w:val="none"/>
                      <w:lang w:val="en-US" w:eastAsia="zh-CN"/>
                    </w:rPr>
                    <w:t>实验过程中产生的废化学试剂</w:t>
                  </w:r>
                  <w:r>
                    <w:rPr>
                      <w:rFonts w:hint="eastAsia"/>
                      <w:color w:val="000000"/>
                      <w:highlight w:val="none"/>
                      <w:lang w:val="en-US" w:eastAsia="zh-CN"/>
                    </w:rPr>
                    <w:t>，</w:t>
                  </w:r>
                  <w:r>
                    <w:rPr>
                      <w:rFonts w:hint="default"/>
                      <w:color w:val="000000"/>
                      <w:highlight w:val="none"/>
                      <w:lang w:val="en-US" w:eastAsia="zh-CN"/>
                    </w:rPr>
                    <w:t>检测过</w:t>
                  </w:r>
                  <w:r>
                    <w:rPr>
                      <w:rFonts w:hint="default" w:ascii="Times New Roman" w:hAnsi="Times New Roman" w:eastAsia="宋体" w:cs="Times New Roman"/>
                      <w:color w:val="000000" w:themeColor="text1"/>
                      <w:kern w:val="0"/>
                      <w:sz w:val="21"/>
                      <w:szCs w:val="21"/>
                      <w:highlight w:val="none"/>
                      <w14:textFill>
                        <w14:solidFill>
                          <w14:schemeClr w14:val="tx1"/>
                        </w14:solidFill>
                      </w14:textFill>
                    </w:rPr>
                    <w:t>程中产生的检测废水</w:t>
                  </w:r>
                  <w:r>
                    <w:rPr>
                      <w:rFonts w:hint="eastAsia" w:ascii="Times New Roman" w:hAnsi="Times New Roman" w:eastAsia="宋体" w:cs="Times New Roman"/>
                      <w:color w:val="000000" w:themeColor="text1"/>
                      <w:kern w:val="0"/>
                      <w:sz w:val="21"/>
                      <w:szCs w:val="21"/>
                      <w:highlight w:val="none"/>
                      <w:lang w:eastAsia="zh-CN"/>
                      <w14:textFill>
                        <w14:solidFill>
                          <w14:schemeClr w14:val="tx1"/>
                        </w14:solidFill>
                      </w14:textFill>
                    </w:rPr>
                    <w:t>，</w:t>
                  </w:r>
                  <w:r>
                    <w:rPr>
                      <w:rFonts w:hint="default" w:ascii="Times New Roman" w:hAnsi="Times New Roman" w:eastAsia="宋体" w:cs="Times New Roman"/>
                      <w:color w:val="000000" w:themeColor="text1"/>
                      <w:kern w:val="0"/>
                      <w:sz w:val="21"/>
                      <w:szCs w:val="21"/>
                      <w:highlight w:val="none"/>
                      <w14:textFill>
                        <w14:solidFill>
                          <w14:schemeClr w14:val="tx1"/>
                        </w14:solidFill>
                      </w14:textFill>
                    </w:rPr>
                    <w:t>废气处理装置定期产生的废活性炭，实验过程中所用或者产生的废试剂瓶、一次性口罩、手套、废培养基、废移液枪头等</w:t>
                  </w:r>
                  <w:r>
                    <w:rPr>
                      <w:rFonts w:hint="eastAsia" w:ascii="Times New Roman" w:hAnsi="Times New Roman" w:cs="Times New Roman" w:eastAsiaTheme="minorEastAsia"/>
                      <w:color w:val="000000"/>
                      <w:sz w:val="21"/>
                      <w:szCs w:val="21"/>
                      <w:highlight w:val="none"/>
                      <w:lang w:val="en-US" w:eastAsia="zh-CN"/>
                    </w:rPr>
                    <w:t>，收集后</w:t>
                  </w:r>
                  <w:r>
                    <w:rPr>
                      <w:rFonts w:hint="eastAsia" w:ascii="Times New Roman" w:hAnsi="Times New Roman" w:cs="Times New Roman" w:eastAsiaTheme="minorEastAsia"/>
                      <w:color w:val="000000"/>
                      <w:sz w:val="21"/>
                      <w:szCs w:val="21"/>
                      <w:highlight w:val="none"/>
                      <w:lang w:val="zh-TW" w:eastAsia="zh-CN"/>
                    </w:rPr>
                    <w:t>暂存于危废暂存间内，定期交由</w:t>
                  </w:r>
                  <w:r>
                    <w:rPr>
                      <w:rFonts w:hint="default" w:ascii="Times New Roman" w:hAnsi="Times New Roman" w:cs="Times New Roman" w:eastAsiaTheme="minorEastAsia"/>
                      <w:color w:val="000000"/>
                      <w:sz w:val="21"/>
                      <w:szCs w:val="21"/>
                      <w:highlight w:val="none"/>
                      <w:lang w:val="en-US" w:eastAsia="zh-CN"/>
                    </w:rPr>
                    <w:t>北京鼎泰鹏宇环保科技有限公司</w:t>
                  </w:r>
                  <w:r>
                    <w:rPr>
                      <w:rFonts w:hint="eastAsia" w:ascii="Times New Roman" w:hAnsi="Times New Roman" w:cs="Times New Roman"/>
                      <w:color w:val="000000"/>
                      <w:sz w:val="21"/>
                      <w:szCs w:val="21"/>
                      <w:highlight w:val="none"/>
                      <w:lang w:val="en-US" w:eastAsia="zh-CN"/>
                    </w:rPr>
                    <w:t>及北京鑫鑫顺通运输服务有限公司</w:t>
                  </w:r>
                  <w:r>
                    <w:rPr>
                      <w:rFonts w:hint="eastAsia" w:ascii="Times New Roman" w:hAnsi="Times New Roman" w:cs="Times New Roman" w:eastAsiaTheme="minorEastAsia"/>
                      <w:color w:val="000000"/>
                      <w:sz w:val="21"/>
                      <w:szCs w:val="21"/>
                      <w:highlight w:val="none"/>
                      <w:lang w:val="en-US" w:eastAsia="zh-CN"/>
                    </w:rPr>
                    <w:t>清运、</w:t>
                  </w:r>
                  <w:r>
                    <w:rPr>
                      <w:rFonts w:hint="eastAsia" w:ascii="Times New Roman" w:hAnsi="Times New Roman" w:cs="Times New Roman" w:eastAsiaTheme="minorEastAsia"/>
                      <w:color w:val="000000"/>
                      <w:sz w:val="21"/>
                      <w:szCs w:val="21"/>
                      <w:highlight w:val="none"/>
                      <w:lang w:val="zh-TW" w:eastAsia="zh-CN"/>
                    </w:rPr>
                    <w:t>处置。</w:t>
                  </w:r>
                </w:p>
                <w:p w14:paraId="21DB6C28">
                  <w:pPr>
                    <w:widowControl/>
                    <w:adjustRightInd w:val="0"/>
                    <w:snapToGrid w:val="0"/>
                    <w:spacing w:line="260" w:lineRule="exact"/>
                    <w:jc w:val="both"/>
                    <w:rPr>
                      <w:rFonts w:hint="eastAsia" w:ascii="Times New Roman" w:hAnsi="Times New Roman" w:cs="Times New Roman" w:eastAsiaTheme="minorEastAsia"/>
                      <w:spacing w:val="-1"/>
                      <w:sz w:val="21"/>
                      <w:szCs w:val="21"/>
                      <w:highlight w:val="none"/>
                      <w:lang w:val="en-US" w:eastAsia="zh-CN"/>
                    </w:rPr>
                  </w:pPr>
                </w:p>
              </w:tc>
              <w:tc>
                <w:tcPr>
                  <w:tcW w:w="461" w:type="pct"/>
                  <w:tcBorders>
                    <w:tl2br w:val="nil"/>
                    <w:tr2bl w:val="nil"/>
                  </w:tcBorders>
                  <w:vAlign w:val="center"/>
                </w:tcPr>
                <w:p w14:paraId="4E4ECBE8">
                  <w:pPr>
                    <w:bidi w:val="0"/>
                    <w:jc w:val="both"/>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无变化</w:t>
                  </w:r>
                </w:p>
              </w:tc>
            </w:tr>
            <w:bookmarkEnd w:id="9"/>
          </w:tbl>
          <w:p w14:paraId="0AE5D83F">
            <w:pPr>
              <w:spacing w:line="360" w:lineRule="auto"/>
              <w:ind w:firstLine="480"/>
              <w:rPr>
                <w:rFonts w:hint="default" w:ascii="Times New Roman" w:hAnsi="Times New Roman" w:eastAsia="宋体" w:cs="Times New Roman"/>
                <w:b/>
                <w:sz w:val="24"/>
                <w:szCs w:val="24"/>
              </w:rPr>
            </w:pPr>
            <w:bookmarkStart w:id="12" w:name="_Toc515281377"/>
            <w:r>
              <w:rPr>
                <w:rFonts w:hint="eastAsia" w:ascii="Times New Roman" w:hAnsi="Times New Roman" w:eastAsia="宋体" w:cs="Times New Roman"/>
                <w:b/>
                <w:sz w:val="24"/>
                <w:szCs w:val="24"/>
                <w:lang w:val="en-US" w:eastAsia="zh-CN"/>
              </w:rPr>
              <w:t>5</w:t>
            </w:r>
            <w:r>
              <w:rPr>
                <w:rFonts w:hint="default" w:ascii="Times New Roman" w:hAnsi="Times New Roman" w:eastAsia="宋体" w:cs="Times New Roman"/>
                <w:b/>
                <w:sz w:val="24"/>
                <w:szCs w:val="24"/>
              </w:rPr>
              <w:t>、项目变动情况</w:t>
            </w:r>
            <w:bookmarkEnd w:id="12"/>
          </w:p>
          <w:p w14:paraId="66B5CD3C">
            <w:pPr>
              <w:spacing w:line="360" w:lineRule="auto"/>
              <w:ind w:firstLine="480" w:firstLineChars="200"/>
              <w:jc w:val="left"/>
              <w:rPr>
                <w:rFonts w:hint="default" w:ascii="Times New Roman" w:hAnsi="Times New Roman" w:cs="Times New Roman"/>
                <w:b/>
                <w:sz w:val="28"/>
                <w:szCs w:val="28"/>
              </w:rPr>
            </w:pPr>
            <w:r>
              <w:rPr>
                <w:rFonts w:hint="default" w:ascii="Times New Roman" w:hAnsi="Times New Roman" w:eastAsia="宋体" w:cs="Times New Roman"/>
                <w:sz w:val="24"/>
                <w:szCs w:val="28"/>
              </w:rPr>
              <w:t>根据项目现场调查，结合项目环评报告及批复文件，对照《污染影响类建设项目重大变动清单(试行)》(环办环评函[2020]688号)，本项目不涉及建设项目性质、规模、地点、采用的生产工艺和环境保护措施的重大变动。</w:t>
            </w:r>
          </w:p>
          <w:p w14:paraId="71853527">
            <w:pPr>
              <w:adjustRightInd w:val="0"/>
              <w:snapToGrid w:val="0"/>
              <w:spacing w:line="360" w:lineRule="auto"/>
              <w:rPr>
                <w:rFonts w:hint="default" w:ascii="Times New Roman" w:hAnsi="Times New Roman" w:cs="Times New Roman"/>
                <w:b/>
                <w:sz w:val="28"/>
                <w:szCs w:val="28"/>
              </w:rPr>
            </w:pPr>
            <w:r>
              <w:rPr>
                <w:rFonts w:hint="default" w:ascii="Times New Roman" w:hAnsi="Times New Roman" w:cs="Times New Roman"/>
                <w:b/>
                <w:sz w:val="28"/>
                <w:szCs w:val="28"/>
              </w:rPr>
              <w:t>原辅材料消耗及水平衡：</w:t>
            </w:r>
          </w:p>
          <w:p w14:paraId="217E67E9">
            <w:pPr>
              <w:adjustRightInd w:val="0"/>
              <w:snapToGrid w:val="0"/>
              <w:spacing w:line="360" w:lineRule="auto"/>
              <w:ind w:firstLine="482" w:firstLineChars="200"/>
              <w:rPr>
                <w:rFonts w:hint="default" w:ascii="Times New Roman" w:hAnsi="Times New Roman" w:cs="Times New Roman"/>
                <w:b/>
                <w:sz w:val="24"/>
                <w:szCs w:val="24"/>
              </w:rPr>
            </w:pPr>
            <w:r>
              <w:rPr>
                <w:rFonts w:hint="eastAsia" w:ascii="Times New Roman" w:hAnsi="Times New Roman" w:cs="Times New Roman"/>
                <w:b/>
                <w:sz w:val="24"/>
                <w:szCs w:val="24"/>
                <w:lang w:val="en-US" w:eastAsia="zh-CN"/>
              </w:rPr>
              <w:t>1、</w:t>
            </w:r>
            <w:r>
              <w:rPr>
                <w:rFonts w:hint="default" w:ascii="Times New Roman" w:hAnsi="Times New Roman" w:cs="Times New Roman"/>
                <w:b/>
                <w:sz w:val="24"/>
                <w:szCs w:val="24"/>
              </w:rPr>
              <w:t>原辅材料消耗</w:t>
            </w:r>
          </w:p>
          <w:p w14:paraId="12078856">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本项目环评阶段与实际建设阶段原辅材料消耗量见表2-</w:t>
            </w:r>
            <w:r>
              <w:rPr>
                <w:rFonts w:hint="eastAsia" w:ascii="Times New Roman" w:hAnsi="Times New Roman" w:cs="Times New Roman"/>
                <w:sz w:val="24"/>
                <w:szCs w:val="24"/>
                <w:lang w:val="en-US" w:eastAsia="zh-CN"/>
              </w:rPr>
              <w:t>5</w:t>
            </w:r>
            <w:r>
              <w:rPr>
                <w:rFonts w:hint="default" w:ascii="Times New Roman" w:hAnsi="Times New Roman" w:cs="Times New Roman"/>
                <w:sz w:val="24"/>
                <w:szCs w:val="24"/>
              </w:rPr>
              <w:t>。</w:t>
            </w:r>
          </w:p>
          <w:p w14:paraId="2483B94A">
            <w:pPr>
              <w:adjustRightInd w:val="0"/>
              <w:snapToGrid w:val="0"/>
              <w:spacing w:line="360" w:lineRule="auto"/>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表2-</w:t>
            </w:r>
            <w:r>
              <w:rPr>
                <w:rFonts w:hint="eastAsia" w:ascii="Times New Roman" w:hAnsi="Times New Roman" w:eastAsia="宋体" w:cs="Times New Roman"/>
                <w:b/>
                <w:sz w:val="24"/>
                <w:szCs w:val="24"/>
                <w:lang w:val="en-US" w:eastAsia="zh-CN"/>
              </w:rPr>
              <w:t>3</w:t>
            </w:r>
            <w:r>
              <w:rPr>
                <w:rFonts w:hint="default" w:ascii="Times New Roman" w:hAnsi="Times New Roman" w:eastAsia="宋体" w:cs="Times New Roman"/>
                <w:b/>
                <w:sz w:val="24"/>
                <w:szCs w:val="24"/>
              </w:rPr>
              <w:t>本项目环评阶段与实际建设阶段原辅材料消耗量对照表</w:t>
            </w:r>
          </w:p>
          <w:tbl>
            <w:tblPr>
              <w:tblStyle w:val="29"/>
              <w:tblW w:w="9221" w:type="dxa"/>
              <w:tblInd w:w="-6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solid" w:color="FFFFFF" w:themeColor="background1" w:fill="auto"/>
              <w:tblLayout w:type="autofit"/>
              <w:tblCellMar>
                <w:top w:w="0" w:type="dxa"/>
                <w:left w:w="108" w:type="dxa"/>
                <w:bottom w:w="0" w:type="dxa"/>
                <w:right w:w="108" w:type="dxa"/>
              </w:tblCellMar>
            </w:tblPr>
            <w:tblGrid>
              <w:gridCol w:w="742"/>
              <w:gridCol w:w="2607"/>
              <w:gridCol w:w="2336"/>
              <w:gridCol w:w="2296"/>
              <w:gridCol w:w="1240"/>
            </w:tblGrid>
            <w:tr w14:paraId="7EE696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solid" w:color="FFFFFF" w:themeColor="background1" w:fill="auto"/>
                <w:tblCellMar>
                  <w:top w:w="0" w:type="dxa"/>
                  <w:left w:w="108" w:type="dxa"/>
                  <w:bottom w:w="0" w:type="dxa"/>
                  <w:right w:w="108" w:type="dxa"/>
                </w:tblCellMar>
              </w:tblPrEx>
              <w:trPr>
                <w:trHeight w:val="567" w:hRule="atLeast"/>
              </w:trPr>
              <w:tc>
                <w:tcPr>
                  <w:tcW w:w="742"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2AA85B57">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b/>
                      <w:bCs/>
                      <w:color w:val="000000"/>
                      <w:kern w:val="0"/>
                      <w:sz w:val="21"/>
                      <w:szCs w:val="21"/>
                      <w:highlight w:val="none"/>
                      <w:lang w:val="en-US" w:eastAsia="zh-CN" w:bidi="ar"/>
                    </w:rPr>
                  </w:pPr>
                  <w:r>
                    <w:rPr>
                      <w:rFonts w:hint="default" w:ascii="Times New Roman" w:hAnsi="Times New Roman" w:eastAsia="宋体" w:cs="Times New Roman"/>
                      <w:b/>
                      <w:bCs/>
                      <w:color w:val="000000"/>
                      <w:kern w:val="0"/>
                      <w:sz w:val="21"/>
                      <w:szCs w:val="21"/>
                      <w:highlight w:val="none"/>
                      <w:lang w:val="en-US" w:eastAsia="zh-CN" w:bidi="ar"/>
                    </w:rPr>
                    <w:t>编号</w:t>
                  </w:r>
                </w:p>
              </w:tc>
              <w:tc>
                <w:tcPr>
                  <w:tcW w:w="2607"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5B40B02A">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b/>
                      <w:bCs/>
                      <w:color w:val="000000"/>
                      <w:kern w:val="0"/>
                      <w:sz w:val="21"/>
                      <w:szCs w:val="21"/>
                      <w:highlight w:val="none"/>
                      <w:lang w:val="en-US" w:eastAsia="zh-CN" w:bidi="ar"/>
                    </w:rPr>
                  </w:pPr>
                  <w:r>
                    <w:rPr>
                      <w:rFonts w:hint="default" w:ascii="Times New Roman" w:hAnsi="Times New Roman" w:eastAsia="宋体" w:cs="Times New Roman"/>
                      <w:b/>
                      <w:bCs/>
                      <w:color w:val="000000"/>
                      <w:kern w:val="0"/>
                      <w:sz w:val="21"/>
                      <w:szCs w:val="21"/>
                      <w:highlight w:val="none"/>
                      <w:lang w:val="en-US" w:eastAsia="zh-CN" w:bidi="ar"/>
                    </w:rPr>
                    <w:t>原辅材料名称</w:t>
                  </w:r>
                </w:p>
              </w:tc>
              <w:tc>
                <w:tcPr>
                  <w:tcW w:w="233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302E9F7D">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b/>
                      <w:bCs/>
                      <w:color w:val="000000"/>
                      <w:kern w:val="0"/>
                      <w:sz w:val="21"/>
                      <w:szCs w:val="21"/>
                      <w:highlight w:val="none"/>
                      <w:lang w:val="en-US" w:eastAsia="zh-CN" w:bidi="ar"/>
                    </w:rPr>
                  </w:pPr>
                  <w:r>
                    <w:rPr>
                      <w:rFonts w:hint="default" w:ascii="Times New Roman" w:hAnsi="Times New Roman" w:eastAsia="宋体" w:cs="Times New Roman"/>
                      <w:b/>
                      <w:bCs/>
                      <w:color w:val="000000"/>
                      <w:kern w:val="0"/>
                      <w:sz w:val="21"/>
                      <w:szCs w:val="21"/>
                      <w:highlight w:val="none"/>
                      <w:lang w:val="en-US" w:eastAsia="zh-CN" w:bidi="ar"/>
                    </w:rPr>
                    <w:t>环评阶段</w:t>
                  </w:r>
                </w:p>
                <w:p w14:paraId="4BD01D6A">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b/>
                      <w:bCs/>
                      <w:color w:val="000000"/>
                      <w:kern w:val="0"/>
                      <w:sz w:val="21"/>
                      <w:szCs w:val="21"/>
                      <w:highlight w:val="none"/>
                      <w:lang w:val="en-US" w:eastAsia="zh-CN" w:bidi="ar"/>
                    </w:rPr>
                  </w:pPr>
                  <w:r>
                    <w:rPr>
                      <w:rFonts w:hint="default" w:ascii="Times New Roman" w:hAnsi="Times New Roman" w:eastAsia="宋体" w:cs="Times New Roman"/>
                      <w:b/>
                      <w:bCs/>
                      <w:color w:val="000000"/>
                      <w:kern w:val="0"/>
                      <w:sz w:val="21"/>
                      <w:szCs w:val="21"/>
                      <w:highlight w:val="none"/>
                      <w:lang w:val="en-US" w:eastAsia="zh-CN" w:bidi="ar"/>
                    </w:rPr>
                    <w:t>年用量</w:t>
                  </w:r>
                </w:p>
              </w:tc>
              <w:tc>
                <w:tcPr>
                  <w:tcW w:w="229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08C59D6B">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b/>
                      <w:bCs/>
                      <w:color w:val="000000"/>
                      <w:kern w:val="0"/>
                      <w:sz w:val="21"/>
                      <w:szCs w:val="21"/>
                      <w:highlight w:val="none"/>
                      <w:lang w:val="en-US" w:eastAsia="zh-CN" w:bidi="ar"/>
                    </w:rPr>
                  </w:pPr>
                  <w:r>
                    <w:rPr>
                      <w:rFonts w:hint="default" w:ascii="Times New Roman" w:hAnsi="Times New Roman" w:eastAsia="宋体" w:cs="Times New Roman"/>
                      <w:b/>
                      <w:bCs/>
                      <w:color w:val="000000"/>
                      <w:kern w:val="0"/>
                      <w:sz w:val="21"/>
                      <w:szCs w:val="21"/>
                      <w:highlight w:val="none"/>
                      <w:lang w:val="en-US" w:eastAsia="zh-CN" w:bidi="ar"/>
                    </w:rPr>
                    <w:t>实际建设</w:t>
                  </w:r>
                </w:p>
                <w:p w14:paraId="2C4E4282">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b/>
                      <w:bCs/>
                      <w:color w:val="000000"/>
                      <w:kern w:val="0"/>
                      <w:sz w:val="21"/>
                      <w:szCs w:val="21"/>
                      <w:highlight w:val="none"/>
                      <w:lang w:val="en-US" w:eastAsia="zh-CN" w:bidi="ar"/>
                    </w:rPr>
                  </w:pPr>
                  <w:r>
                    <w:rPr>
                      <w:rFonts w:hint="default" w:ascii="Times New Roman" w:hAnsi="Times New Roman" w:eastAsia="宋体" w:cs="Times New Roman"/>
                      <w:b/>
                      <w:bCs/>
                      <w:color w:val="000000"/>
                      <w:kern w:val="0"/>
                      <w:sz w:val="21"/>
                      <w:szCs w:val="21"/>
                      <w:highlight w:val="none"/>
                      <w:lang w:val="en-US" w:eastAsia="zh-CN" w:bidi="ar"/>
                    </w:rPr>
                    <w:t>年用量</w:t>
                  </w:r>
                </w:p>
              </w:tc>
              <w:tc>
                <w:tcPr>
                  <w:tcW w:w="1240"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394C9C81">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b/>
                      <w:bCs/>
                      <w:color w:val="000000"/>
                      <w:kern w:val="0"/>
                      <w:sz w:val="21"/>
                      <w:szCs w:val="21"/>
                      <w:highlight w:val="none"/>
                      <w:lang w:val="en-US" w:eastAsia="zh-CN" w:bidi="ar"/>
                    </w:rPr>
                  </w:pPr>
                  <w:r>
                    <w:rPr>
                      <w:rFonts w:hint="default" w:ascii="Times New Roman" w:hAnsi="Times New Roman" w:eastAsia="宋体" w:cs="Times New Roman"/>
                      <w:b/>
                      <w:bCs/>
                      <w:color w:val="000000"/>
                      <w:kern w:val="0"/>
                      <w:sz w:val="21"/>
                      <w:szCs w:val="21"/>
                      <w:highlight w:val="none"/>
                      <w:lang w:val="en-US" w:eastAsia="zh-CN" w:bidi="ar"/>
                    </w:rPr>
                    <w:t>变化情况</w:t>
                  </w:r>
                </w:p>
              </w:tc>
            </w:tr>
            <w:tr w14:paraId="391601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solid" w:color="FFFFFF" w:themeColor="background1" w:fill="auto"/>
                <w:tblCellMar>
                  <w:top w:w="0" w:type="dxa"/>
                  <w:left w:w="108" w:type="dxa"/>
                  <w:bottom w:w="0" w:type="dxa"/>
                  <w:right w:w="108" w:type="dxa"/>
                </w:tblCellMar>
              </w:tblPrEx>
              <w:trPr>
                <w:trHeight w:val="454" w:hRule="atLeast"/>
              </w:trPr>
              <w:tc>
                <w:tcPr>
                  <w:tcW w:w="742"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59D9015F">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default" w:ascii="Times New Roman" w:hAnsi="Times New Roman" w:eastAsia="宋体" w:cs="Times New Roman"/>
                      <w:color w:val="000000"/>
                      <w:kern w:val="0"/>
                      <w:sz w:val="21"/>
                      <w:szCs w:val="21"/>
                      <w:highlight w:val="none"/>
                      <w:lang w:val="en-US" w:eastAsia="zh-CN" w:bidi="ar"/>
                    </w:rPr>
                    <w:t>1</w:t>
                  </w:r>
                </w:p>
              </w:tc>
              <w:tc>
                <w:tcPr>
                  <w:tcW w:w="2607"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5D813954">
                  <w:pPr>
                    <w:keepNext w:val="0"/>
                    <w:keepLines w:val="0"/>
                    <w:widowControl/>
                    <w:suppressLineNumbers w:val="0"/>
                    <w:jc w:val="center"/>
                    <w:textAlignment w:val="center"/>
                    <w:rPr>
                      <w:rFonts w:hint="default" w:ascii="Times New Roman" w:hAnsi="Times New Roman" w:eastAsia="宋体" w:cs="Times New Roman"/>
                      <w:snapToGrid w:val="0"/>
                      <w:color w:val="000000"/>
                      <w:kern w:val="2"/>
                      <w:sz w:val="21"/>
                      <w:szCs w:val="21"/>
                      <w:highlight w:val="none"/>
                      <w:lang w:val="en-US" w:eastAsia="zh-CN" w:bidi="ar-SA"/>
                    </w:rPr>
                  </w:pPr>
                  <w:r>
                    <w:rPr>
                      <w:rFonts w:hint="eastAsia" w:ascii="宋体" w:hAnsi="宋体" w:eastAsia="宋体" w:cs="宋体"/>
                      <w:i w:val="0"/>
                      <w:iCs w:val="0"/>
                      <w:color w:val="000000"/>
                      <w:kern w:val="0"/>
                      <w:sz w:val="21"/>
                      <w:szCs w:val="21"/>
                      <w:highlight w:val="none"/>
                      <w:u w:val="none"/>
                      <w:lang w:val="en-US" w:eastAsia="zh-CN" w:bidi="ar"/>
                    </w:rPr>
                    <w:t>硫酸</w:t>
                  </w:r>
                </w:p>
              </w:tc>
              <w:tc>
                <w:tcPr>
                  <w:tcW w:w="233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5ADADFF8">
                  <w:pPr>
                    <w:keepNext w:val="0"/>
                    <w:keepLines w:val="0"/>
                    <w:widowControl/>
                    <w:suppressLineNumbers w:val="0"/>
                    <w:jc w:val="center"/>
                    <w:textAlignment w:val="center"/>
                    <w:rPr>
                      <w:rFonts w:hint="default" w:ascii="Times New Roman" w:hAnsi="Times New Roman" w:eastAsia="宋体" w:cs="Times New Roman"/>
                      <w:snapToGrid w:val="0"/>
                      <w:color w:val="000000"/>
                      <w:kern w:val="2"/>
                      <w:sz w:val="21"/>
                      <w:szCs w:val="21"/>
                      <w:highlight w:val="none"/>
                      <w:lang w:val="en-US" w:eastAsia="zh-CN" w:bidi="ar-SA"/>
                    </w:rPr>
                  </w:pPr>
                  <w:r>
                    <w:rPr>
                      <w:rFonts w:hint="eastAsia" w:ascii="宋体" w:hAnsi="宋体" w:eastAsia="宋体" w:cs="宋体"/>
                      <w:i w:val="0"/>
                      <w:iCs w:val="0"/>
                      <w:color w:val="000000"/>
                      <w:kern w:val="0"/>
                      <w:sz w:val="21"/>
                      <w:szCs w:val="21"/>
                      <w:highlight w:val="none"/>
                      <w:u w:val="none"/>
                      <w:lang w:val="en-US" w:eastAsia="zh-CN" w:bidi="ar"/>
                    </w:rPr>
                    <w:t>1200mL</w:t>
                  </w:r>
                </w:p>
              </w:tc>
              <w:tc>
                <w:tcPr>
                  <w:tcW w:w="229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4990CC57">
                  <w:pPr>
                    <w:keepNext w:val="0"/>
                    <w:keepLines w:val="0"/>
                    <w:widowControl/>
                    <w:suppressLineNumbers w:val="0"/>
                    <w:jc w:val="center"/>
                    <w:textAlignment w:val="center"/>
                    <w:rPr>
                      <w:rFonts w:hint="default" w:ascii="Times New Roman" w:hAnsi="Times New Roman" w:eastAsia="宋体" w:cs="Times New Roman"/>
                      <w:snapToGrid w:val="0"/>
                      <w:color w:val="000000"/>
                      <w:kern w:val="2"/>
                      <w:sz w:val="21"/>
                      <w:szCs w:val="21"/>
                      <w:highlight w:val="none"/>
                      <w:lang w:val="en-US" w:eastAsia="zh-CN" w:bidi="ar-SA"/>
                    </w:rPr>
                  </w:pPr>
                  <w:r>
                    <w:rPr>
                      <w:rFonts w:hint="eastAsia" w:ascii="宋体" w:hAnsi="宋体" w:eastAsia="宋体" w:cs="宋体"/>
                      <w:i w:val="0"/>
                      <w:iCs w:val="0"/>
                      <w:color w:val="000000"/>
                      <w:kern w:val="0"/>
                      <w:sz w:val="21"/>
                      <w:szCs w:val="21"/>
                      <w:highlight w:val="none"/>
                      <w:u w:val="none"/>
                      <w:lang w:val="en-US" w:eastAsia="zh-CN" w:bidi="ar"/>
                    </w:rPr>
                    <w:t>0</w:t>
                  </w:r>
                </w:p>
              </w:tc>
              <w:tc>
                <w:tcPr>
                  <w:tcW w:w="1240"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5AC1635E">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eastAsia" w:ascii="Times New Roman" w:hAnsi="Times New Roman" w:eastAsia="宋体" w:cs="Times New Roman"/>
                      <w:color w:val="000000"/>
                      <w:kern w:val="0"/>
                      <w:sz w:val="21"/>
                      <w:szCs w:val="21"/>
                      <w:highlight w:val="none"/>
                      <w:lang w:val="en-US" w:eastAsia="zh-CN" w:bidi="ar"/>
                    </w:rPr>
                    <w:t>不再使用</w:t>
                  </w:r>
                </w:p>
              </w:tc>
            </w:tr>
            <w:tr w14:paraId="31CD14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solid" w:color="FFFFFF" w:themeColor="background1" w:fill="auto"/>
                <w:tblCellMar>
                  <w:top w:w="0" w:type="dxa"/>
                  <w:left w:w="108" w:type="dxa"/>
                  <w:bottom w:w="0" w:type="dxa"/>
                  <w:right w:w="108" w:type="dxa"/>
                </w:tblCellMar>
              </w:tblPrEx>
              <w:trPr>
                <w:trHeight w:val="454" w:hRule="atLeast"/>
              </w:trPr>
              <w:tc>
                <w:tcPr>
                  <w:tcW w:w="742"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238B8A8E">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default" w:ascii="Times New Roman" w:hAnsi="Times New Roman" w:eastAsia="宋体" w:cs="Times New Roman"/>
                      <w:color w:val="000000"/>
                      <w:kern w:val="0"/>
                      <w:sz w:val="21"/>
                      <w:szCs w:val="21"/>
                      <w:highlight w:val="none"/>
                      <w:lang w:val="en-US" w:eastAsia="zh-CN" w:bidi="ar"/>
                    </w:rPr>
                    <w:t>2</w:t>
                  </w:r>
                </w:p>
              </w:tc>
              <w:tc>
                <w:tcPr>
                  <w:tcW w:w="2607"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660153CF">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甲醇</w:t>
                  </w:r>
                </w:p>
              </w:tc>
              <w:tc>
                <w:tcPr>
                  <w:tcW w:w="233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0E64AE3F">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1200mL</w:t>
                  </w:r>
                </w:p>
              </w:tc>
              <w:tc>
                <w:tcPr>
                  <w:tcW w:w="229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04612260">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1200mL</w:t>
                  </w:r>
                </w:p>
              </w:tc>
              <w:tc>
                <w:tcPr>
                  <w:tcW w:w="1240"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5ABA4D5A">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default" w:ascii="Times New Roman" w:hAnsi="Times New Roman" w:eastAsia="宋体" w:cs="Times New Roman"/>
                      <w:sz w:val="21"/>
                      <w:szCs w:val="21"/>
                      <w:highlight w:val="none"/>
                      <w:lang w:val="en-US" w:eastAsia="zh-CN"/>
                    </w:rPr>
                    <w:t>一致</w:t>
                  </w:r>
                </w:p>
              </w:tc>
            </w:tr>
            <w:tr w14:paraId="2FA56B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742"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36EEC97B">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default" w:ascii="Times New Roman" w:hAnsi="Times New Roman" w:eastAsia="宋体" w:cs="Times New Roman"/>
                      <w:color w:val="000000"/>
                      <w:kern w:val="0"/>
                      <w:sz w:val="21"/>
                      <w:szCs w:val="21"/>
                      <w:highlight w:val="none"/>
                      <w:lang w:val="en-US" w:eastAsia="zh-CN" w:bidi="ar"/>
                    </w:rPr>
                    <w:t>3</w:t>
                  </w:r>
                </w:p>
              </w:tc>
              <w:tc>
                <w:tcPr>
                  <w:tcW w:w="2607"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5FBE6269">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乙酸</w:t>
                  </w:r>
                </w:p>
              </w:tc>
              <w:tc>
                <w:tcPr>
                  <w:tcW w:w="233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631E184D">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2400mL</w:t>
                  </w:r>
                </w:p>
              </w:tc>
              <w:tc>
                <w:tcPr>
                  <w:tcW w:w="229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14BE7BFC">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2400mL</w:t>
                  </w:r>
                </w:p>
              </w:tc>
              <w:tc>
                <w:tcPr>
                  <w:tcW w:w="1240"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1001084A">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default" w:ascii="Times New Roman" w:hAnsi="Times New Roman" w:eastAsia="宋体" w:cs="Times New Roman"/>
                      <w:sz w:val="21"/>
                      <w:szCs w:val="21"/>
                      <w:highlight w:val="none"/>
                      <w:lang w:val="en-US" w:eastAsia="zh-CN"/>
                    </w:rPr>
                    <w:t>一致</w:t>
                  </w:r>
                </w:p>
              </w:tc>
            </w:tr>
            <w:tr w14:paraId="3445B9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742"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4E7D82F2">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default" w:ascii="Times New Roman" w:hAnsi="Times New Roman" w:eastAsia="宋体" w:cs="Times New Roman"/>
                      <w:color w:val="000000"/>
                      <w:kern w:val="0"/>
                      <w:sz w:val="21"/>
                      <w:szCs w:val="21"/>
                      <w:highlight w:val="none"/>
                      <w:lang w:val="en-US" w:eastAsia="zh-CN" w:bidi="ar"/>
                    </w:rPr>
                    <w:t>4</w:t>
                  </w:r>
                </w:p>
              </w:tc>
              <w:tc>
                <w:tcPr>
                  <w:tcW w:w="2607"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1F4994F6">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盐酸</w:t>
                  </w:r>
                </w:p>
              </w:tc>
              <w:tc>
                <w:tcPr>
                  <w:tcW w:w="233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4D166A41">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1200mL</w:t>
                  </w:r>
                </w:p>
              </w:tc>
              <w:tc>
                <w:tcPr>
                  <w:tcW w:w="229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5837AECD">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1200mL</w:t>
                  </w:r>
                </w:p>
              </w:tc>
              <w:tc>
                <w:tcPr>
                  <w:tcW w:w="1240"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75AE32BD">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default" w:ascii="Times New Roman" w:hAnsi="Times New Roman" w:eastAsia="宋体" w:cs="Times New Roman"/>
                      <w:sz w:val="21"/>
                      <w:szCs w:val="21"/>
                      <w:highlight w:val="none"/>
                      <w:lang w:val="en-US" w:eastAsia="zh-CN"/>
                    </w:rPr>
                    <w:t>一致</w:t>
                  </w:r>
                </w:p>
              </w:tc>
            </w:tr>
            <w:tr w14:paraId="3A74D8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742"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5235B840">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default" w:ascii="Times New Roman" w:hAnsi="Times New Roman" w:eastAsia="宋体" w:cs="Times New Roman"/>
                      <w:color w:val="000000"/>
                      <w:kern w:val="0"/>
                      <w:sz w:val="21"/>
                      <w:szCs w:val="21"/>
                      <w:highlight w:val="none"/>
                      <w:lang w:val="en-US" w:eastAsia="zh-CN" w:bidi="ar"/>
                    </w:rPr>
                    <w:t>5</w:t>
                  </w:r>
                </w:p>
              </w:tc>
              <w:tc>
                <w:tcPr>
                  <w:tcW w:w="2607"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3CD3BE36">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细菌培养基</w:t>
                  </w:r>
                </w:p>
              </w:tc>
              <w:tc>
                <w:tcPr>
                  <w:tcW w:w="233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4B1F0F75">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1.2t</w:t>
                  </w:r>
                </w:p>
              </w:tc>
              <w:tc>
                <w:tcPr>
                  <w:tcW w:w="229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5B2D9FC5">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0</w:t>
                  </w:r>
                </w:p>
              </w:tc>
              <w:tc>
                <w:tcPr>
                  <w:tcW w:w="1240"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0D8F85B4">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eastAsia" w:ascii="Times New Roman" w:hAnsi="Times New Roman" w:eastAsia="宋体" w:cs="Times New Roman"/>
                      <w:color w:val="000000"/>
                      <w:kern w:val="0"/>
                      <w:sz w:val="21"/>
                      <w:szCs w:val="21"/>
                      <w:highlight w:val="none"/>
                      <w:lang w:val="en-US" w:eastAsia="zh-CN" w:bidi="ar"/>
                    </w:rPr>
                    <w:t>不再使用</w:t>
                  </w:r>
                </w:p>
              </w:tc>
            </w:tr>
            <w:tr w14:paraId="6479DE1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solid" w:color="FFFFFF" w:themeColor="background1" w:fill="auto"/>
                <w:tblCellMar>
                  <w:top w:w="0" w:type="dxa"/>
                  <w:left w:w="108" w:type="dxa"/>
                  <w:bottom w:w="0" w:type="dxa"/>
                  <w:right w:w="108" w:type="dxa"/>
                </w:tblCellMar>
              </w:tblPrEx>
              <w:trPr>
                <w:trHeight w:val="454" w:hRule="atLeast"/>
              </w:trPr>
              <w:tc>
                <w:tcPr>
                  <w:tcW w:w="742"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0EF472F7">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default" w:ascii="Times New Roman" w:hAnsi="Times New Roman" w:eastAsia="宋体" w:cs="Times New Roman"/>
                      <w:color w:val="000000"/>
                      <w:kern w:val="0"/>
                      <w:sz w:val="21"/>
                      <w:szCs w:val="21"/>
                      <w:highlight w:val="none"/>
                      <w:lang w:val="en-US" w:eastAsia="zh-CN" w:bidi="ar"/>
                    </w:rPr>
                    <w:t>6</w:t>
                  </w:r>
                </w:p>
              </w:tc>
              <w:tc>
                <w:tcPr>
                  <w:tcW w:w="2607"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31D5073D">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支原体培养基</w:t>
                  </w:r>
                </w:p>
              </w:tc>
              <w:tc>
                <w:tcPr>
                  <w:tcW w:w="233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7C1FBEF0">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1.2t</w:t>
                  </w:r>
                </w:p>
              </w:tc>
              <w:tc>
                <w:tcPr>
                  <w:tcW w:w="229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6EF67C57">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1.2t</w:t>
                  </w:r>
                </w:p>
              </w:tc>
              <w:tc>
                <w:tcPr>
                  <w:tcW w:w="1240"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06DAD717">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default" w:ascii="Times New Roman" w:hAnsi="Times New Roman" w:eastAsia="宋体" w:cs="Times New Roman"/>
                      <w:sz w:val="21"/>
                      <w:szCs w:val="21"/>
                      <w:highlight w:val="none"/>
                      <w:lang w:val="en-US" w:eastAsia="zh-CN"/>
                    </w:rPr>
                    <w:t>一致</w:t>
                  </w:r>
                </w:p>
              </w:tc>
            </w:tr>
            <w:tr w14:paraId="1BE177C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solid" w:color="FFFFFF" w:themeColor="background1" w:fill="auto"/>
                <w:tblCellMar>
                  <w:top w:w="0" w:type="dxa"/>
                  <w:left w:w="108" w:type="dxa"/>
                  <w:bottom w:w="0" w:type="dxa"/>
                  <w:right w:w="108" w:type="dxa"/>
                </w:tblCellMar>
              </w:tblPrEx>
              <w:trPr>
                <w:trHeight w:val="454" w:hRule="atLeast"/>
              </w:trPr>
              <w:tc>
                <w:tcPr>
                  <w:tcW w:w="742"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08929DFD">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default" w:ascii="Times New Roman" w:hAnsi="Times New Roman" w:eastAsia="宋体" w:cs="Times New Roman"/>
                      <w:color w:val="000000"/>
                      <w:kern w:val="0"/>
                      <w:sz w:val="21"/>
                      <w:szCs w:val="21"/>
                      <w:highlight w:val="none"/>
                      <w:lang w:val="en-US" w:eastAsia="zh-CN" w:bidi="ar"/>
                    </w:rPr>
                    <w:t>7</w:t>
                  </w:r>
                </w:p>
              </w:tc>
              <w:tc>
                <w:tcPr>
                  <w:tcW w:w="2607"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09CB2507">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CO</w:t>
                  </w:r>
                  <w:r>
                    <w:rPr>
                      <w:rFonts w:hint="eastAsia" w:ascii="宋体" w:hAnsi="宋体" w:eastAsia="宋体" w:cs="宋体"/>
                      <w:i w:val="0"/>
                      <w:iCs w:val="0"/>
                      <w:color w:val="000000"/>
                      <w:kern w:val="0"/>
                      <w:sz w:val="21"/>
                      <w:szCs w:val="21"/>
                      <w:highlight w:val="none"/>
                      <w:u w:val="none"/>
                      <w:vertAlign w:val="subscript"/>
                      <w:lang w:val="en-US" w:eastAsia="zh-CN" w:bidi="ar"/>
                    </w:rPr>
                    <w:t>2</w:t>
                  </w:r>
                  <w:r>
                    <w:rPr>
                      <w:rFonts w:hint="eastAsia" w:ascii="宋体" w:hAnsi="宋体" w:eastAsia="宋体" w:cs="宋体"/>
                      <w:i w:val="0"/>
                      <w:iCs w:val="0"/>
                      <w:color w:val="000000"/>
                      <w:kern w:val="0"/>
                      <w:sz w:val="21"/>
                      <w:szCs w:val="21"/>
                      <w:highlight w:val="none"/>
                      <w:u w:val="none"/>
                      <w:lang w:val="en-US" w:eastAsia="zh-CN" w:bidi="ar"/>
                    </w:rPr>
                    <w:t xml:space="preserve"> 气瓶</w:t>
                  </w:r>
                </w:p>
              </w:tc>
              <w:tc>
                <w:tcPr>
                  <w:tcW w:w="233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4EC6CCE4">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320L（40L*8瓶）</w:t>
                  </w:r>
                </w:p>
              </w:tc>
              <w:tc>
                <w:tcPr>
                  <w:tcW w:w="229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6ED73730">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320L（40L*8瓶）</w:t>
                  </w:r>
                </w:p>
              </w:tc>
              <w:tc>
                <w:tcPr>
                  <w:tcW w:w="1240"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35727268">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default" w:ascii="Times New Roman" w:hAnsi="Times New Roman" w:eastAsia="宋体" w:cs="Times New Roman"/>
                      <w:sz w:val="21"/>
                      <w:szCs w:val="21"/>
                      <w:highlight w:val="none"/>
                      <w:lang w:val="en-US" w:eastAsia="zh-CN"/>
                    </w:rPr>
                    <w:t>一致</w:t>
                  </w:r>
                </w:p>
              </w:tc>
            </w:tr>
            <w:tr w14:paraId="0B44A8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solid" w:color="FFFFFF" w:themeColor="background1" w:fill="auto"/>
                <w:tblCellMar>
                  <w:top w:w="0" w:type="dxa"/>
                  <w:left w:w="108" w:type="dxa"/>
                  <w:bottom w:w="0" w:type="dxa"/>
                  <w:right w:w="108" w:type="dxa"/>
                </w:tblCellMar>
              </w:tblPrEx>
              <w:trPr>
                <w:trHeight w:val="454" w:hRule="atLeast"/>
              </w:trPr>
              <w:tc>
                <w:tcPr>
                  <w:tcW w:w="742"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7BD6AB96">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default" w:ascii="Times New Roman" w:hAnsi="Times New Roman" w:eastAsia="宋体" w:cs="Times New Roman"/>
                      <w:color w:val="000000"/>
                      <w:kern w:val="0"/>
                      <w:sz w:val="21"/>
                      <w:szCs w:val="21"/>
                      <w:highlight w:val="none"/>
                      <w:lang w:val="en-US" w:eastAsia="zh-CN" w:bidi="ar"/>
                    </w:rPr>
                    <w:t>8</w:t>
                  </w:r>
                </w:p>
              </w:tc>
              <w:tc>
                <w:tcPr>
                  <w:tcW w:w="2607"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26163956">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青霉素</w:t>
                  </w:r>
                </w:p>
              </w:tc>
              <w:tc>
                <w:tcPr>
                  <w:tcW w:w="233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4BF6BA21">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378 支</w:t>
                  </w:r>
                </w:p>
              </w:tc>
              <w:tc>
                <w:tcPr>
                  <w:tcW w:w="229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04895509">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0</w:t>
                  </w:r>
                </w:p>
              </w:tc>
              <w:tc>
                <w:tcPr>
                  <w:tcW w:w="1240"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4713F5D5">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不再使用</w:t>
                  </w:r>
                </w:p>
              </w:tc>
            </w:tr>
            <w:tr w14:paraId="4A332D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solid" w:color="FFFFFF" w:themeColor="background1" w:fill="auto"/>
                <w:tblCellMar>
                  <w:top w:w="0" w:type="dxa"/>
                  <w:left w:w="108" w:type="dxa"/>
                  <w:bottom w:w="0" w:type="dxa"/>
                  <w:right w:w="108" w:type="dxa"/>
                </w:tblCellMar>
              </w:tblPrEx>
              <w:trPr>
                <w:trHeight w:val="454" w:hRule="atLeast"/>
              </w:trPr>
              <w:tc>
                <w:tcPr>
                  <w:tcW w:w="742"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26862826">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default" w:ascii="Times New Roman" w:hAnsi="Times New Roman" w:eastAsia="宋体" w:cs="Times New Roman"/>
                      <w:color w:val="000000"/>
                      <w:kern w:val="0"/>
                      <w:sz w:val="21"/>
                      <w:szCs w:val="21"/>
                      <w:highlight w:val="none"/>
                      <w:lang w:val="en-US" w:eastAsia="zh-CN" w:bidi="ar"/>
                    </w:rPr>
                    <w:t>9</w:t>
                  </w:r>
                </w:p>
              </w:tc>
              <w:tc>
                <w:tcPr>
                  <w:tcW w:w="2607"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0A2D2221">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平衡盐溶液</w:t>
                  </w:r>
                </w:p>
              </w:tc>
              <w:tc>
                <w:tcPr>
                  <w:tcW w:w="233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3C4E4C5E">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672 瓶（500mL/瓶）</w:t>
                  </w:r>
                </w:p>
              </w:tc>
              <w:tc>
                <w:tcPr>
                  <w:tcW w:w="229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445D4ED3">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672 瓶（500mL/瓶）</w:t>
                  </w:r>
                </w:p>
              </w:tc>
              <w:tc>
                <w:tcPr>
                  <w:tcW w:w="1240"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37C3F9AD">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default" w:ascii="宋体" w:hAnsi="宋体" w:eastAsia="宋体" w:cs="宋体"/>
                      <w:i w:val="0"/>
                      <w:iCs w:val="0"/>
                      <w:color w:val="000000"/>
                      <w:kern w:val="0"/>
                      <w:sz w:val="21"/>
                      <w:szCs w:val="21"/>
                      <w:highlight w:val="none"/>
                      <w:u w:val="none"/>
                      <w:lang w:val="en-US" w:eastAsia="zh-CN" w:bidi="ar"/>
                    </w:rPr>
                    <w:t>一致</w:t>
                  </w:r>
                </w:p>
              </w:tc>
            </w:tr>
            <w:tr w14:paraId="632FAA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solid" w:color="FFFFFF" w:themeColor="background1" w:fill="auto"/>
                <w:tblCellMar>
                  <w:top w:w="0" w:type="dxa"/>
                  <w:left w:w="108" w:type="dxa"/>
                  <w:bottom w:w="0" w:type="dxa"/>
                  <w:right w:w="108" w:type="dxa"/>
                </w:tblCellMar>
              </w:tblPrEx>
              <w:trPr>
                <w:trHeight w:val="454" w:hRule="atLeast"/>
              </w:trPr>
              <w:tc>
                <w:tcPr>
                  <w:tcW w:w="742"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102A403E">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default" w:ascii="Times New Roman" w:hAnsi="Times New Roman" w:eastAsia="宋体" w:cs="Times New Roman"/>
                      <w:color w:val="000000"/>
                      <w:kern w:val="0"/>
                      <w:sz w:val="21"/>
                      <w:szCs w:val="21"/>
                      <w:highlight w:val="none"/>
                      <w:lang w:val="en-US" w:eastAsia="zh-CN" w:bidi="ar"/>
                    </w:rPr>
                    <w:t>10</w:t>
                  </w:r>
                </w:p>
              </w:tc>
              <w:tc>
                <w:tcPr>
                  <w:tcW w:w="2607"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4F61EDA1">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无血清培养基（不含抗生素）</w:t>
                  </w:r>
                </w:p>
              </w:tc>
              <w:tc>
                <w:tcPr>
                  <w:tcW w:w="233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35221D10">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3360 瓶（500mL/瓶）</w:t>
                  </w:r>
                </w:p>
              </w:tc>
              <w:tc>
                <w:tcPr>
                  <w:tcW w:w="229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12FADA36">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3360 瓶（500mL/瓶）</w:t>
                  </w:r>
                </w:p>
              </w:tc>
              <w:tc>
                <w:tcPr>
                  <w:tcW w:w="1240"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5C52EB49">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default" w:ascii="宋体" w:hAnsi="宋体" w:eastAsia="宋体" w:cs="宋体"/>
                      <w:i w:val="0"/>
                      <w:iCs w:val="0"/>
                      <w:color w:val="000000"/>
                      <w:kern w:val="0"/>
                      <w:sz w:val="21"/>
                      <w:szCs w:val="21"/>
                      <w:highlight w:val="none"/>
                      <w:u w:val="none"/>
                      <w:lang w:val="en-US" w:eastAsia="zh-CN" w:bidi="ar"/>
                    </w:rPr>
                    <w:t>一致</w:t>
                  </w:r>
                </w:p>
              </w:tc>
            </w:tr>
            <w:tr w14:paraId="604348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solid" w:color="FFFFFF" w:themeColor="background1" w:fill="auto"/>
                <w:tblCellMar>
                  <w:top w:w="0" w:type="dxa"/>
                  <w:left w:w="108" w:type="dxa"/>
                  <w:bottom w:w="0" w:type="dxa"/>
                  <w:right w:w="108" w:type="dxa"/>
                </w:tblCellMar>
              </w:tblPrEx>
              <w:trPr>
                <w:trHeight w:val="454" w:hRule="atLeast"/>
              </w:trPr>
              <w:tc>
                <w:tcPr>
                  <w:tcW w:w="742"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5884C78B">
                  <w:pPr>
                    <w:keepNext w:val="0"/>
                    <w:keepLines w:val="0"/>
                    <w:pageBreakBefore w:val="0"/>
                    <w:widowControl/>
                    <w:suppressLineNumbers w:val="0"/>
                    <w:kinsoku/>
                    <w:wordWrap/>
                    <w:overflowPunct/>
                    <w:topLinePunct w:val="0"/>
                    <w:autoSpaceDE/>
                    <w:autoSpaceDN/>
                    <w:bidi w:val="0"/>
                    <w:spacing w:line="240" w:lineRule="exact"/>
                    <w:jc w:val="center"/>
                    <w:textAlignment w:val="auto"/>
                    <w:rPr>
                      <w:rFonts w:hint="default" w:ascii="Times New Roman" w:hAnsi="Times New Roman" w:eastAsia="宋体" w:cs="Times New Roman"/>
                      <w:color w:val="000000"/>
                      <w:kern w:val="0"/>
                      <w:sz w:val="21"/>
                      <w:szCs w:val="21"/>
                      <w:highlight w:val="none"/>
                      <w:lang w:val="en-US" w:eastAsia="zh-CN" w:bidi="ar"/>
                    </w:rPr>
                  </w:pPr>
                  <w:r>
                    <w:rPr>
                      <w:rFonts w:hint="default" w:ascii="Times New Roman" w:hAnsi="Times New Roman" w:eastAsia="宋体" w:cs="Times New Roman"/>
                      <w:color w:val="000000"/>
                      <w:kern w:val="0"/>
                      <w:sz w:val="21"/>
                      <w:szCs w:val="21"/>
                      <w:highlight w:val="none"/>
                      <w:lang w:val="en-US" w:eastAsia="zh-CN" w:bidi="ar"/>
                    </w:rPr>
                    <w:t>11</w:t>
                  </w:r>
                </w:p>
              </w:tc>
              <w:tc>
                <w:tcPr>
                  <w:tcW w:w="2607"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0AD8E550">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抑菌液</w:t>
                  </w:r>
                </w:p>
              </w:tc>
              <w:tc>
                <w:tcPr>
                  <w:tcW w:w="233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334C7585">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105 瓶（250mL/瓶）</w:t>
                  </w:r>
                </w:p>
              </w:tc>
              <w:tc>
                <w:tcPr>
                  <w:tcW w:w="229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5390B735">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105 瓶（250mL/瓶）</w:t>
                  </w:r>
                </w:p>
              </w:tc>
              <w:tc>
                <w:tcPr>
                  <w:tcW w:w="1240"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73C667DD">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default" w:ascii="宋体" w:hAnsi="宋体" w:eastAsia="宋体" w:cs="宋体"/>
                      <w:i w:val="0"/>
                      <w:iCs w:val="0"/>
                      <w:color w:val="000000"/>
                      <w:kern w:val="0"/>
                      <w:sz w:val="21"/>
                      <w:szCs w:val="21"/>
                      <w:highlight w:val="none"/>
                      <w:u w:val="none"/>
                      <w:lang w:val="en-US" w:eastAsia="zh-CN" w:bidi="ar"/>
                    </w:rPr>
                    <w:t>一致</w:t>
                  </w:r>
                </w:p>
              </w:tc>
            </w:tr>
            <w:tr w14:paraId="22307D3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solid" w:color="FFFFFF" w:themeColor="background1" w:fill="auto"/>
                <w:tblCellMar>
                  <w:top w:w="0" w:type="dxa"/>
                  <w:left w:w="108" w:type="dxa"/>
                  <w:bottom w:w="0" w:type="dxa"/>
                  <w:right w:w="108" w:type="dxa"/>
                </w:tblCellMar>
              </w:tblPrEx>
              <w:trPr>
                <w:trHeight w:val="454" w:hRule="atLeast"/>
              </w:trPr>
              <w:tc>
                <w:tcPr>
                  <w:tcW w:w="742"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063351A7">
                  <w:pPr>
                    <w:keepNext w:val="0"/>
                    <w:keepLines w:val="0"/>
                    <w:widowControl/>
                    <w:suppressLineNumbers w:val="0"/>
                    <w:jc w:val="center"/>
                    <w:textAlignment w:val="center"/>
                    <w:rPr>
                      <w:rFonts w:hint="default" w:ascii="Times New Roman" w:hAnsi="Times New Roman" w:eastAsia="宋体" w:cs="Times New Roman"/>
                      <w:color w:val="000000"/>
                      <w:kern w:val="0"/>
                      <w:sz w:val="21"/>
                      <w:szCs w:val="21"/>
                      <w:highlight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12</w:t>
                  </w:r>
                </w:p>
              </w:tc>
              <w:tc>
                <w:tcPr>
                  <w:tcW w:w="2607"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5F1BF738">
                  <w:pPr>
                    <w:keepNext w:val="0"/>
                    <w:keepLines w:val="0"/>
                    <w:widowControl/>
                    <w:suppressLineNumbers w:val="0"/>
                    <w:jc w:val="center"/>
                    <w:textAlignment w:val="center"/>
                    <w:rPr>
                      <w:rFonts w:hint="eastAsia"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胰酪大豆胨液体培养基</w:t>
                  </w:r>
                </w:p>
              </w:tc>
              <w:tc>
                <w:tcPr>
                  <w:tcW w:w="233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0A7CDFD5">
                  <w:pPr>
                    <w:keepNext w:val="0"/>
                    <w:keepLines w:val="0"/>
                    <w:widowControl/>
                    <w:suppressLineNumbers w:val="0"/>
                    <w:jc w:val="center"/>
                    <w:textAlignment w:val="center"/>
                    <w:rPr>
                      <w:rFonts w:hint="eastAsia"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u w:val="none"/>
                      <w:lang w:val="en-US" w:eastAsia="zh-CN" w:bidi="ar"/>
                    </w:rPr>
                    <w:t>8 瓶（100mL/</w:t>
                  </w:r>
                  <w:r>
                    <w:rPr>
                      <w:rFonts w:ascii="微软雅黑" w:hAnsi="微软雅黑" w:eastAsia="微软雅黑" w:cs="微软雅黑"/>
                      <w:i w:val="0"/>
                      <w:iCs w:val="0"/>
                      <w:color w:val="000000"/>
                      <w:kern w:val="0"/>
                      <w:sz w:val="21"/>
                      <w:szCs w:val="21"/>
                      <w:u w:val="none"/>
                      <w:lang w:val="en-US" w:eastAsia="zh-CN" w:bidi="ar"/>
                    </w:rPr>
                    <w:t>瓶）</w:t>
                  </w:r>
                </w:p>
              </w:tc>
              <w:tc>
                <w:tcPr>
                  <w:tcW w:w="2296"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145AF254">
                  <w:pPr>
                    <w:keepNext w:val="0"/>
                    <w:keepLines w:val="0"/>
                    <w:widowControl/>
                    <w:suppressLineNumbers w:val="0"/>
                    <w:jc w:val="center"/>
                    <w:textAlignment w:val="center"/>
                    <w:rPr>
                      <w:rFonts w:hint="eastAsia"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u w:val="none"/>
                      <w:lang w:val="en-US" w:eastAsia="zh-CN" w:bidi="ar"/>
                    </w:rPr>
                    <w:t>2 瓶</w:t>
                  </w:r>
                </w:p>
              </w:tc>
              <w:tc>
                <w:tcPr>
                  <w:tcW w:w="1240" w:type="dxa"/>
                  <w:tcBorders>
                    <w:top w:val="single" w:color="000000" w:sz="4" w:space="0"/>
                    <w:left w:val="single" w:color="000000" w:sz="4" w:space="0"/>
                    <w:bottom w:val="single" w:color="000000" w:sz="4" w:space="0"/>
                    <w:right w:val="single" w:color="000000" w:sz="4" w:space="0"/>
                  </w:tcBorders>
                  <w:shd w:val="solid" w:color="FFFFFF" w:themeColor="background1" w:fill="auto"/>
                  <w:vAlign w:val="center"/>
                </w:tcPr>
                <w:p w14:paraId="0DA53BC2">
                  <w:pPr>
                    <w:keepNext w:val="0"/>
                    <w:keepLines w:val="0"/>
                    <w:widowControl/>
                    <w:suppressLineNumbers w:val="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default" w:ascii="宋体" w:hAnsi="宋体" w:eastAsia="宋体" w:cs="宋体"/>
                      <w:i w:val="0"/>
                      <w:iCs w:val="0"/>
                      <w:color w:val="000000"/>
                      <w:kern w:val="0"/>
                      <w:sz w:val="21"/>
                      <w:szCs w:val="21"/>
                      <w:highlight w:val="none"/>
                      <w:u w:val="none"/>
                      <w:lang w:val="en-US" w:eastAsia="zh-CN" w:bidi="ar"/>
                    </w:rPr>
                    <w:t>一致</w:t>
                  </w:r>
                </w:p>
              </w:tc>
            </w:tr>
          </w:tbl>
          <w:p w14:paraId="685B31D0">
            <w:pPr>
              <w:bidi w:val="0"/>
              <w:rPr>
                <w:rFonts w:hint="default" w:ascii="Times New Roman" w:hAnsi="Times New Roman" w:cs="Times New Roman"/>
              </w:rPr>
            </w:pPr>
          </w:p>
          <w:p w14:paraId="46FE97CB">
            <w:pPr>
              <w:adjustRightInd w:val="0"/>
              <w:snapToGrid w:val="0"/>
              <w:spacing w:line="360" w:lineRule="auto"/>
              <w:ind w:firstLine="482" w:firstLineChars="200"/>
              <w:rPr>
                <w:rFonts w:hint="default" w:ascii="Times New Roman" w:hAnsi="Times New Roman" w:cs="Times New Roman"/>
                <w:b/>
                <w:sz w:val="24"/>
                <w:szCs w:val="24"/>
              </w:rPr>
            </w:pPr>
            <w:r>
              <w:rPr>
                <w:rFonts w:hint="eastAsia" w:ascii="Times New Roman" w:hAnsi="Times New Roman" w:cs="Times New Roman"/>
                <w:b/>
                <w:sz w:val="24"/>
                <w:szCs w:val="24"/>
                <w:lang w:val="en-US" w:eastAsia="zh-CN"/>
              </w:rPr>
              <w:t>2</w:t>
            </w:r>
            <w:r>
              <w:rPr>
                <w:rFonts w:hint="default" w:ascii="Times New Roman" w:hAnsi="Times New Roman" w:cs="Times New Roman"/>
                <w:b/>
                <w:sz w:val="24"/>
                <w:szCs w:val="24"/>
              </w:rPr>
              <w:t>、水平衡</w:t>
            </w:r>
          </w:p>
          <w:p w14:paraId="16E68176">
            <w:pPr>
              <w:spacing w:line="360" w:lineRule="auto"/>
              <w:ind w:firstLine="480" w:firstLineChars="200"/>
              <w:rPr>
                <w:rFonts w:hint="default" w:ascii="Times New Roman" w:hAnsi="Times New Roman" w:cs="Times New Roman" w:eastAsiaTheme="minorEastAsia"/>
                <w:kern w:val="2"/>
                <w:sz w:val="24"/>
                <w:szCs w:val="22"/>
                <w:lang w:val="en-US" w:eastAsia="zh-CN" w:bidi="ar-SA"/>
              </w:rPr>
            </w:pPr>
            <w:bookmarkStart w:id="13" w:name="_Toc515281376"/>
            <w:r>
              <w:rPr>
                <w:rFonts w:hint="default" w:ascii="Times New Roman" w:hAnsi="Times New Roman" w:cs="Times New Roman" w:eastAsiaTheme="minorEastAsia"/>
                <w:kern w:val="2"/>
                <w:sz w:val="24"/>
                <w:szCs w:val="22"/>
                <w:lang w:val="en-US" w:eastAsia="zh-CN" w:bidi="ar-SA"/>
              </w:rPr>
              <w:t>本项目用水主要为</w:t>
            </w:r>
            <w:r>
              <w:rPr>
                <w:spacing w:val="-3"/>
                <w:sz w:val="24"/>
              </w:rPr>
              <w:t>检测用水</w:t>
            </w:r>
            <w:r>
              <w:rPr>
                <w:sz w:val="24"/>
              </w:rPr>
              <w:t>（包括仪器清洗用水</w:t>
            </w:r>
            <w:r>
              <w:rPr>
                <w:spacing w:val="-24"/>
                <w:sz w:val="24"/>
              </w:rPr>
              <w:t>）</w:t>
            </w:r>
            <w:r>
              <w:rPr>
                <w:spacing w:val="-10"/>
                <w:sz w:val="24"/>
              </w:rPr>
              <w:t>、实验室地面、操作台等清洗用水、员</w:t>
            </w:r>
            <w:r>
              <w:rPr>
                <w:spacing w:val="-8"/>
                <w:sz w:val="24"/>
              </w:rPr>
              <w:t>工洁净服清洗用水</w:t>
            </w:r>
            <w:r>
              <w:rPr>
                <w:rFonts w:hint="default" w:ascii="Times New Roman" w:hAnsi="Times New Roman" w:cs="Times New Roman" w:eastAsiaTheme="minorEastAsia"/>
                <w:kern w:val="2"/>
                <w:sz w:val="24"/>
                <w:szCs w:val="22"/>
                <w:lang w:val="en-US" w:eastAsia="zh-CN" w:bidi="ar-SA"/>
              </w:rPr>
              <w:t>和员工生活用水。</w:t>
            </w:r>
          </w:p>
          <w:p w14:paraId="47DF73FD">
            <w:pPr>
              <w:keepNext w:val="0"/>
              <w:keepLines w:val="0"/>
              <w:widowControl/>
              <w:suppressLineNumbers w:val="0"/>
              <w:spacing w:line="360" w:lineRule="auto"/>
              <w:jc w:val="left"/>
              <w:rPr>
                <w:rFonts w:hint="default" w:ascii="Times New Roman" w:hAnsi="Times New Roman" w:cs="Times New Roman"/>
                <w:sz w:val="24"/>
              </w:rPr>
            </w:pPr>
            <w:r>
              <w:rPr>
                <w:rFonts w:hint="default" w:ascii="Times New Roman" w:hAnsi="Times New Roman" w:cs="Times New Roman" w:eastAsiaTheme="minorEastAsia"/>
                <w:kern w:val="2"/>
                <w:sz w:val="24"/>
                <w:szCs w:val="22"/>
                <w:lang w:val="en-US" w:eastAsia="zh-CN" w:bidi="ar-SA"/>
              </w:rPr>
              <w:t>本项目水平衡</w:t>
            </w:r>
            <w:r>
              <w:rPr>
                <w:rFonts w:hint="default" w:ascii="Times New Roman" w:hAnsi="Times New Roman" w:cs="Times New Roman"/>
                <w:kern w:val="2"/>
                <w:sz w:val="24"/>
                <w:szCs w:val="22"/>
                <w:lang w:val="en-US" w:eastAsia="zh-CN" w:bidi="ar-SA"/>
              </w:rPr>
              <w:t>详</w:t>
            </w:r>
            <w:r>
              <w:rPr>
                <w:rFonts w:hint="default" w:ascii="Times New Roman" w:hAnsi="Times New Roman" w:cs="Times New Roman" w:eastAsiaTheme="minorEastAsia"/>
                <w:kern w:val="2"/>
                <w:sz w:val="24"/>
                <w:szCs w:val="22"/>
                <w:lang w:val="en-US" w:eastAsia="zh-CN" w:bidi="ar-SA"/>
              </w:rPr>
              <w:t>见下图</w:t>
            </w:r>
            <w:bookmarkEnd w:id="13"/>
            <w:r>
              <w:rPr>
                <w:rFonts w:hint="default" w:ascii="Times New Roman" w:hAnsi="Times New Roman" w:cs="Times New Roman"/>
                <w:sz w:val="24"/>
              </w:rPr>
              <w:t>2-</w:t>
            </w:r>
            <w:r>
              <w:rPr>
                <w:rFonts w:hint="eastAsia" w:ascii="Times New Roman" w:hAnsi="Times New Roman" w:cs="Times New Roman"/>
                <w:sz w:val="24"/>
                <w:lang w:val="en-US" w:eastAsia="zh-CN"/>
              </w:rPr>
              <w:t>4</w:t>
            </w:r>
            <w:r>
              <w:rPr>
                <w:rFonts w:hint="default" w:ascii="Times New Roman" w:hAnsi="Times New Roman" w:cs="Times New Roman"/>
                <w:sz w:val="24"/>
              </w:rPr>
              <w:t>。</w:t>
            </w:r>
          </w:p>
          <w:p w14:paraId="25A5F540">
            <w:pPr>
              <w:keepNext w:val="0"/>
              <w:keepLines w:val="0"/>
              <w:widowControl/>
              <w:suppressLineNumbers w:val="0"/>
              <w:spacing w:line="360" w:lineRule="auto"/>
              <w:ind w:firstLine="420" w:firstLineChars="200"/>
              <w:jc w:val="center"/>
            </w:pPr>
            <w:r>
              <w:drawing>
                <wp:inline distT="0" distB="0" distL="114300" distR="114300">
                  <wp:extent cx="5132705" cy="2733675"/>
                  <wp:effectExtent l="0" t="0" r="10795" b="9525"/>
                  <wp:docPr id="8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5"/>
                          <pic:cNvPicPr>
                            <a:picLocks noChangeAspect="1"/>
                          </pic:cNvPicPr>
                        </pic:nvPicPr>
                        <pic:blipFill>
                          <a:blip r:embed="rId11"/>
                          <a:stretch>
                            <a:fillRect/>
                          </a:stretch>
                        </pic:blipFill>
                        <pic:spPr>
                          <a:xfrm>
                            <a:off x="0" y="0"/>
                            <a:ext cx="5132705" cy="2733675"/>
                          </a:xfrm>
                          <a:prstGeom prst="rect">
                            <a:avLst/>
                          </a:prstGeom>
                          <a:noFill/>
                          <a:ln>
                            <a:noFill/>
                          </a:ln>
                        </pic:spPr>
                      </pic:pic>
                    </a:graphicData>
                  </a:graphic>
                </wp:inline>
              </w:drawing>
            </w:r>
          </w:p>
          <w:p w14:paraId="45FCBCA0">
            <w:pPr>
              <w:adjustRightInd w:val="0"/>
              <w:snapToGrid w:val="0"/>
              <w:spacing w:before="120" w:beforeLines="50" w:line="360" w:lineRule="auto"/>
              <w:jc w:val="center"/>
            </w:pPr>
            <w:r>
              <w:rPr>
                <w:rFonts w:hint="default" w:ascii="Times New Roman" w:hAnsi="Times New Roman" w:cs="Times New Roman"/>
                <w:b/>
                <w:color w:val="000000" w:themeColor="text1"/>
                <w:sz w:val="24"/>
                <w:szCs w:val="24"/>
                <w14:textFill>
                  <w14:solidFill>
                    <w14:schemeClr w14:val="tx1"/>
                  </w14:solidFill>
                </w14:textFill>
              </w:rPr>
              <w:t>图2-</w:t>
            </w:r>
            <w:r>
              <w:rPr>
                <w:rFonts w:hint="eastAsia" w:ascii="Times New Roman" w:hAnsi="Times New Roman" w:cs="Times New Roman"/>
                <w:b/>
                <w:color w:val="000000" w:themeColor="text1"/>
                <w:sz w:val="24"/>
                <w:szCs w:val="24"/>
                <w:lang w:val="en-US" w:eastAsia="zh-CN"/>
                <w14:textFill>
                  <w14:solidFill>
                    <w14:schemeClr w14:val="tx1"/>
                  </w14:solidFill>
                </w14:textFill>
              </w:rPr>
              <w:t>4</w:t>
            </w:r>
            <w:r>
              <w:rPr>
                <w:rFonts w:hint="default" w:ascii="Times New Roman" w:hAnsi="Times New Roman" w:cs="Times New Roman"/>
                <w:b/>
                <w:color w:val="000000" w:themeColor="text1"/>
                <w:sz w:val="24"/>
                <w:szCs w:val="24"/>
                <w14:textFill>
                  <w14:solidFill>
                    <w14:schemeClr w14:val="tx1"/>
                  </w14:solidFill>
                </w14:textFill>
              </w:rPr>
              <w:t>本项目水平衡图单位</w:t>
            </w:r>
            <w:r>
              <w:rPr>
                <w:rFonts w:hint="eastAsia" w:ascii="Times New Roman" w:hAnsi="Times New Roman" w:cs="Times New Roman"/>
                <w:b/>
                <w:color w:val="000000" w:themeColor="text1"/>
                <w:sz w:val="24"/>
                <w:szCs w:val="24"/>
                <w:lang w:val="en-US" w:eastAsia="zh-CN"/>
                <w14:textFill>
                  <w14:solidFill>
                    <w14:schemeClr w14:val="tx1"/>
                  </w14:solidFill>
                </w14:textFill>
              </w:rPr>
              <w:t>m3</w:t>
            </w:r>
            <w:r>
              <w:rPr>
                <w:rFonts w:hint="default" w:ascii="Times New Roman" w:hAnsi="Times New Roman" w:cs="Times New Roman"/>
                <w:b/>
                <w:color w:val="000000" w:themeColor="text1"/>
                <w:sz w:val="24"/>
                <w:szCs w:val="24"/>
                <w14:textFill>
                  <w14:solidFill>
                    <w14:schemeClr w14:val="tx1"/>
                  </w14:solidFill>
                </w14:textFill>
              </w:rPr>
              <w:t>/</w:t>
            </w:r>
            <w:r>
              <w:rPr>
                <w:rFonts w:hint="eastAsia" w:ascii="Times New Roman" w:hAnsi="Times New Roman" w:cs="Times New Roman"/>
                <w:b/>
                <w:color w:val="000000" w:themeColor="text1"/>
                <w:sz w:val="24"/>
                <w:szCs w:val="24"/>
                <w:lang w:val="en-US" w:eastAsia="zh-CN"/>
                <w14:textFill>
                  <w14:solidFill>
                    <w14:schemeClr w14:val="tx1"/>
                  </w14:solidFill>
                </w14:textFill>
              </w:rPr>
              <w:t>d</w:t>
            </w:r>
          </w:p>
          <w:p w14:paraId="5476F4AB">
            <w:pPr>
              <w:adjustRightInd w:val="0"/>
              <w:snapToGrid w:val="0"/>
              <w:spacing w:before="120" w:beforeLines="50" w:line="360" w:lineRule="auto"/>
              <w:rPr>
                <w:rFonts w:hint="default" w:ascii="Times New Roman" w:hAnsi="Times New Roman" w:cs="Times New Roman"/>
                <w:b/>
                <w:sz w:val="28"/>
                <w:szCs w:val="28"/>
              </w:rPr>
            </w:pPr>
            <w:r>
              <w:rPr>
                <w:rFonts w:hint="default" w:ascii="Times New Roman" w:hAnsi="Times New Roman" w:cs="Times New Roman"/>
                <w:b/>
                <w:sz w:val="28"/>
                <w:szCs w:val="28"/>
              </w:rPr>
              <w:t>主要工艺流程及产污环节：</w:t>
            </w:r>
          </w:p>
          <w:p w14:paraId="5700EAC6">
            <w:pPr>
              <w:adjustRightInd w:val="0"/>
              <w:snapToGrid w:val="0"/>
              <w:spacing w:before="120" w:beforeLines="50" w:line="360" w:lineRule="auto"/>
              <w:ind w:firstLine="480" w:firstLineChars="200"/>
              <w:rPr>
                <w:rFonts w:hint="default" w:ascii="Times New Roman" w:hAnsi="Times New Roman" w:eastAsia="宋体" w:cs="Times New Roman"/>
                <w:b w:val="0"/>
                <w:bCs w:val="0"/>
                <w:kern w:val="2"/>
                <w:sz w:val="24"/>
                <w:szCs w:val="24"/>
                <w:highlight w:val="none"/>
                <w:lang w:val="en-US" w:eastAsia="zh-CN" w:bidi="ar-SA"/>
              </w:rPr>
            </w:pPr>
            <w:r>
              <w:rPr>
                <w:rFonts w:hint="eastAsia" w:ascii="Times New Roman" w:hAnsi="Times New Roman" w:eastAsia="宋体" w:cs="Times New Roman"/>
                <w:b w:val="0"/>
                <w:bCs w:val="0"/>
                <w:kern w:val="2"/>
                <w:sz w:val="24"/>
                <w:szCs w:val="24"/>
                <w:lang w:val="en-US" w:eastAsia="zh-CN" w:bidi="ar-SA"/>
              </w:rPr>
              <w:t>本项目运营期主要为该企业正在研发和临床试验中的扩增活化的淋巴细胞、CAR-T-19注射液等免疫细胞药物进行质量检验。工艺流程及产污位置示意图</w:t>
            </w:r>
            <w:r>
              <w:rPr>
                <w:rFonts w:hint="eastAsia" w:ascii="Times New Roman" w:hAnsi="Times New Roman" w:eastAsia="宋体" w:cs="Times New Roman"/>
                <w:b w:val="0"/>
                <w:bCs w:val="0"/>
                <w:kern w:val="2"/>
                <w:sz w:val="24"/>
                <w:szCs w:val="24"/>
                <w:highlight w:val="none"/>
                <w:lang w:val="en-US" w:eastAsia="zh-CN" w:bidi="ar-SA"/>
              </w:rPr>
              <w:t>见图2-5。</w:t>
            </w:r>
          </w:p>
          <w:p w14:paraId="5D35F9FA">
            <w:pPr>
              <w:spacing w:line="360" w:lineRule="auto"/>
              <w:ind w:firstLine="420" w:firstLineChars="200"/>
              <w:jc w:val="center"/>
              <w:rPr>
                <w:rFonts w:hint="default" w:ascii="Times New Roman" w:hAnsi="Times New Roman" w:eastAsia="宋体" w:cs="Times New Roman"/>
                <w:kern w:val="0"/>
                <w:sz w:val="24"/>
                <w:szCs w:val="24"/>
                <w:lang w:eastAsia="zh-CN"/>
              </w:rPr>
            </w:pPr>
            <w:r>
              <w:drawing>
                <wp:inline distT="0" distB="0" distL="114300" distR="114300">
                  <wp:extent cx="3943350" cy="3695700"/>
                  <wp:effectExtent l="0" t="0" r="0" b="0"/>
                  <wp:docPr id="8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6"/>
                          <pic:cNvPicPr>
                            <a:picLocks noChangeAspect="1"/>
                          </pic:cNvPicPr>
                        </pic:nvPicPr>
                        <pic:blipFill>
                          <a:blip r:embed="rId12"/>
                          <a:stretch>
                            <a:fillRect/>
                          </a:stretch>
                        </pic:blipFill>
                        <pic:spPr>
                          <a:xfrm>
                            <a:off x="0" y="0"/>
                            <a:ext cx="3943350" cy="3695700"/>
                          </a:xfrm>
                          <a:prstGeom prst="rect">
                            <a:avLst/>
                          </a:prstGeom>
                          <a:noFill/>
                          <a:ln>
                            <a:noFill/>
                          </a:ln>
                        </pic:spPr>
                      </pic:pic>
                    </a:graphicData>
                  </a:graphic>
                </wp:inline>
              </w:drawing>
            </w:r>
          </w:p>
          <w:p w14:paraId="346B0206">
            <w:pPr>
              <w:keepNext w:val="0"/>
              <w:keepLines w:val="0"/>
              <w:widowControl/>
              <w:suppressLineNumbers w:val="0"/>
              <w:spacing w:line="360" w:lineRule="auto"/>
              <w:ind w:firstLine="3614" w:firstLineChars="1500"/>
              <w:jc w:val="left"/>
              <w:rPr>
                <w:rFonts w:hint="eastAsia" w:ascii="Times New Roman" w:hAnsi="Times New Roman" w:cs="Times New Roman"/>
                <w:b/>
                <w:bCs/>
                <w:kern w:val="2"/>
                <w:sz w:val="24"/>
                <w:szCs w:val="24"/>
                <w:lang w:val="en-US" w:eastAsia="zh-CN" w:bidi="ar-SA"/>
              </w:rPr>
            </w:pPr>
            <w:r>
              <w:rPr>
                <w:rFonts w:hint="default" w:ascii="Times New Roman" w:hAnsi="Times New Roman" w:cs="Times New Roman"/>
                <w:b/>
                <w:bCs/>
                <w:kern w:val="2"/>
                <w:sz w:val="24"/>
                <w:szCs w:val="24"/>
                <w:lang w:val="en-US" w:eastAsia="zh-CN" w:bidi="ar-SA"/>
              </w:rPr>
              <w:t>图2-</w:t>
            </w:r>
            <w:r>
              <w:rPr>
                <w:rFonts w:hint="eastAsia" w:ascii="Times New Roman" w:hAnsi="Times New Roman" w:cs="Times New Roman"/>
                <w:b/>
                <w:bCs/>
                <w:kern w:val="2"/>
                <w:sz w:val="24"/>
                <w:szCs w:val="24"/>
                <w:lang w:val="en-US" w:eastAsia="zh-CN" w:bidi="ar-SA"/>
              </w:rPr>
              <w:t>5</w:t>
            </w:r>
            <w:r>
              <w:rPr>
                <w:rFonts w:hint="default" w:ascii="Times New Roman" w:hAnsi="Times New Roman" w:cs="Times New Roman"/>
                <w:b/>
                <w:bCs/>
                <w:kern w:val="2"/>
                <w:sz w:val="24"/>
                <w:szCs w:val="24"/>
                <w:lang w:val="en-US" w:eastAsia="zh-CN" w:bidi="ar-SA"/>
              </w:rPr>
              <w:t xml:space="preserve"> 工艺流程图</w:t>
            </w:r>
            <w:r>
              <w:rPr>
                <w:rFonts w:hint="eastAsia" w:ascii="Times New Roman" w:hAnsi="Times New Roman" w:cs="Times New Roman"/>
                <w:b/>
                <w:bCs/>
                <w:kern w:val="2"/>
                <w:sz w:val="24"/>
                <w:szCs w:val="24"/>
                <w:lang w:val="en-US" w:eastAsia="zh-CN" w:bidi="ar-SA"/>
              </w:rPr>
              <w:t>及产污环节</w:t>
            </w:r>
          </w:p>
          <w:p w14:paraId="5BAF20F4">
            <w:pPr>
              <w:keepNext w:val="0"/>
              <w:keepLines w:val="0"/>
              <w:widowControl/>
              <w:suppressLineNumbers w:val="0"/>
              <w:spacing w:line="360" w:lineRule="auto"/>
              <w:ind w:firstLine="480" w:firstLineChars="200"/>
              <w:jc w:val="left"/>
              <w:rPr>
                <w:rFonts w:hint="default" w:ascii="Times New Roman" w:hAnsi="Times New Roman" w:cs="Times New Roman"/>
                <w:b/>
                <w:bCs/>
                <w:kern w:val="2"/>
                <w:sz w:val="24"/>
                <w:szCs w:val="24"/>
                <w:lang w:val="en-US" w:eastAsia="zh-CN" w:bidi="ar-SA"/>
              </w:rPr>
            </w:pPr>
            <w:r>
              <w:rPr>
                <w:rFonts w:hint="eastAsia" w:ascii="Times New Roman" w:hAnsi="Times New Roman" w:eastAsia="宋体" w:cs="Times New Roman"/>
                <w:b w:val="0"/>
                <w:bCs w:val="0"/>
                <w:kern w:val="2"/>
                <w:sz w:val="24"/>
                <w:szCs w:val="24"/>
                <w:lang w:val="en-US" w:eastAsia="zh-CN" w:bidi="ar-SA"/>
              </w:rPr>
              <w:t>一、</w:t>
            </w:r>
            <w:r>
              <w:rPr>
                <w:rFonts w:hint="default" w:ascii="Times New Roman" w:hAnsi="Times New Roman" w:eastAsia="宋体" w:cs="Times New Roman"/>
                <w:b w:val="0"/>
                <w:bCs w:val="0"/>
                <w:kern w:val="2"/>
                <w:sz w:val="24"/>
                <w:szCs w:val="24"/>
                <w:lang w:val="en-US" w:eastAsia="zh-CN" w:bidi="ar-SA"/>
              </w:rPr>
              <w:t>工艺</w:t>
            </w:r>
            <w:r>
              <w:rPr>
                <w:rFonts w:hint="eastAsia" w:ascii="Times New Roman" w:hAnsi="Times New Roman" w:eastAsia="宋体" w:cs="Times New Roman"/>
                <w:b w:val="0"/>
                <w:bCs w:val="0"/>
                <w:kern w:val="2"/>
                <w:sz w:val="24"/>
                <w:szCs w:val="24"/>
                <w:lang w:val="en-US" w:eastAsia="zh-CN" w:bidi="ar-SA"/>
              </w:rPr>
              <w:t>流程简介</w:t>
            </w:r>
          </w:p>
          <w:p w14:paraId="0406C281">
            <w:pPr>
              <w:keepNext w:val="0"/>
              <w:keepLines w:val="0"/>
              <w:widowControl/>
              <w:suppressLineNumbers w:val="0"/>
              <w:spacing w:line="360" w:lineRule="auto"/>
              <w:ind w:firstLine="480" w:firstLineChars="200"/>
              <w:jc w:val="left"/>
              <w:rPr>
                <w:rFonts w:hint="default" w:ascii="Times New Roman" w:hAnsi="Times New Roman" w:eastAsia="宋体" w:cs="Times New Roman"/>
                <w:b w:val="0"/>
                <w:bCs w:val="0"/>
                <w:kern w:val="2"/>
                <w:sz w:val="24"/>
                <w:szCs w:val="24"/>
                <w:lang w:val="en-US" w:eastAsia="zh-CN" w:bidi="ar-SA"/>
              </w:rPr>
            </w:pPr>
            <w:r>
              <w:rPr>
                <w:rFonts w:hint="eastAsia" w:ascii="Times New Roman" w:hAnsi="Times New Roman" w:eastAsia="宋体" w:cs="Times New Roman"/>
                <w:b w:val="0"/>
                <w:bCs w:val="0"/>
                <w:kern w:val="2"/>
                <w:sz w:val="24"/>
                <w:szCs w:val="24"/>
                <w:lang w:val="en-US" w:eastAsia="zh-CN" w:bidi="ar-SA"/>
              </w:rPr>
              <w:t>（1）总体</w:t>
            </w:r>
            <w:r>
              <w:rPr>
                <w:rFonts w:hint="default" w:ascii="Times New Roman" w:hAnsi="Times New Roman" w:eastAsia="宋体" w:cs="Times New Roman"/>
                <w:b w:val="0"/>
                <w:bCs w:val="0"/>
                <w:kern w:val="2"/>
                <w:sz w:val="24"/>
                <w:szCs w:val="24"/>
                <w:lang w:val="en-US" w:eastAsia="zh-CN" w:bidi="ar-SA"/>
              </w:rPr>
              <w:t>工艺</w:t>
            </w:r>
            <w:r>
              <w:rPr>
                <w:rFonts w:hint="eastAsia" w:ascii="Times New Roman" w:hAnsi="Times New Roman" w:eastAsia="宋体" w:cs="Times New Roman"/>
                <w:b w:val="0"/>
                <w:bCs w:val="0"/>
                <w:kern w:val="2"/>
                <w:sz w:val="24"/>
                <w:szCs w:val="24"/>
                <w:lang w:val="en-US" w:eastAsia="zh-CN" w:bidi="ar-SA"/>
              </w:rPr>
              <w:t>流程如下</w:t>
            </w:r>
            <w:r>
              <w:rPr>
                <w:rFonts w:hint="default" w:ascii="Times New Roman" w:hAnsi="Times New Roman" w:eastAsia="宋体" w:cs="Times New Roman"/>
                <w:b w:val="0"/>
                <w:bCs w:val="0"/>
                <w:kern w:val="2"/>
                <w:sz w:val="24"/>
                <w:szCs w:val="24"/>
                <w:lang w:val="en-US" w:eastAsia="zh-CN" w:bidi="ar-SA"/>
              </w:rPr>
              <w:t>：</w:t>
            </w:r>
          </w:p>
          <w:p w14:paraId="5AC810B7">
            <w:pPr>
              <w:keepNext w:val="0"/>
              <w:keepLines w:val="0"/>
              <w:widowControl/>
              <w:suppressLineNumbers w:val="0"/>
              <w:spacing w:line="360" w:lineRule="auto"/>
              <w:ind w:firstLine="480" w:firstLineChars="200"/>
              <w:jc w:val="left"/>
              <w:rPr>
                <w:rFonts w:hint="eastAsia" w:ascii="Times New Roman" w:hAnsi="Times New Roman" w:eastAsia="宋体" w:cs="Times New Roman"/>
                <w:b w:val="0"/>
                <w:bCs w:val="0"/>
                <w:kern w:val="2"/>
                <w:sz w:val="24"/>
                <w:szCs w:val="24"/>
                <w:lang w:val="en-US" w:eastAsia="zh-CN" w:bidi="ar-SA"/>
              </w:rPr>
            </w:pPr>
            <w:r>
              <w:rPr>
                <w:rFonts w:hint="eastAsia" w:ascii="Times New Roman" w:hAnsi="Times New Roman" w:eastAsia="宋体" w:cs="Times New Roman"/>
                <w:b w:val="0"/>
                <w:bCs w:val="0"/>
                <w:kern w:val="2"/>
                <w:sz w:val="24"/>
                <w:szCs w:val="24"/>
                <w:lang w:val="en-US" w:eastAsia="zh-CN" w:bidi="ar-SA"/>
              </w:rPr>
              <w:t xml:space="preserve">1、根据现场人员送检样本接收登记，分类编号； </w:t>
            </w:r>
          </w:p>
          <w:p w14:paraId="1B9AB0D2">
            <w:pPr>
              <w:keepNext w:val="0"/>
              <w:keepLines w:val="0"/>
              <w:widowControl/>
              <w:suppressLineNumbers w:val="0"/>
              <w:spacing w:line="360" w:lineRule="auto"/>
              <w:ind w:firstLine="480" w:firstLineChars="200"/>
              <w:jc w:val="left"/>
              <w:rPr>
                <w:rFonts w:hint="eastAsia" w:ascii="Times New Roman" w:hAnsi="Times New Roman" w:eastAsia="宋体" w:cs="Times New Roman"/>
                <w:b w:val="0"/>
                <w:bCs w:val="0"/>
                <w:kern w:val="2"/>
                <w:sz w:val="24"/>
                <w:szCs w:val="24"/>
                <w:lang w:val="en-US" w:eastAsia="zh-CN" w:bidi="ar-SA"/>
              </w:rPr>
            </w:pPr>
            <w:r>
              <w:rPr>
                <w:rFonts w:hint="eastAsia" w:ascii="Times New Roman" w:hAnsi="Times New Roman" w:eastAsia="宋体" w:cs="Times New Roman"/>
                <w:b w:val="0"/>
                <w:bCs w:val="0"/>
                <w:kern w:val="2"/>
                <w:sz w:val="24"/>
                <w:szCs w:val="24"/>
                <w:lang w:val="en-US" w:eastAsia="zh-CN" w:bidi="ar-SA"/>
              </w:rPr>
              <w:t xml:space="preserve">2、公司负责人根据业务需求下达检验任务； </w:t>
            </w:r>
          </w:p>
          <w:p w14:paraId="35820566">
            <w:pPr>
              <w:keepNext w:val="0"/>
              <w:keepLines w:val="0"/>
              <w:widowControl/>
              <w:suppressLineNumbers w:val="0"/>
              <w:spacing w:line="360" w:lineRule="auto"/>
              <w:ind w:firstLine="480" w:firstLineChars="200"/>
              <w:jc w:val="left"/>
              <w:rPr>
                <w:rFonts w:hint="eastAsia" w:ascii="Times New Roman" w:hAnsi="Times New Roman" w:eastAsia="宋体" w:cs="Times New Roman"/>
                <w:b w:val="0"/>
                <w:bCs w:val="0"/>
                <w:kern w:val="2"/>
                <w:sz w:val="24"/>
                <w:szCs w:val="24"/>
                <w:lang w:val="en-US" w:eastAsia="zh-CN" w:bidi="ar-SA"/>
              </w:rPr>
            </w:pPr>
            <w:r>
              <w:rPr>
                <w:rFonts w:hint="eastAsia" w:ascii="Times New Roman" w:hAnsi="Times New Roman" w:eastAsia="宋体" w:cs="Times New Roman"/>
                <w:b w:val="0"/>
                <w:bCs w:val="0"/>
                <w:kern w:val="2"/>
                <w:sz w:val="24"/>
                <w:szCs w:val="24"/>
                <w:lang w:val="en-US" w:eastAsia="zh-CN" w:bidi="ar-SA"/>
              </w:rPr>
              <w:t xml:space="preserve">3、实验室接收检验任务，并对样品进行前处理； </w:t>
            </w:r>
          </w:p>
          <w:p w14:paraId="48982B1A">
            <w:pPr>
              <w:keepNext w:val="0"/>
              <w:keepLines w:val="0"/>
              <w:widowControl/>
              <w:suppressLineNumbers w:val="0"/>
              <w:spacing w:line="360" w:lineRule="auto"/>
              <w:ind w:firstLine="480" w:firstLineChars="200"/>
              <w:jc w:val="left"/>
              <w:rPr>
                <w:rFonts w:hint="eastAsia" w:ascii="Times New Roman" w:hAnsi="Times New Roman" w:eastAsia="宋体" w:cs="Times New Roman"/>
                <w:b w:val="0"/>
                <w:bCs w:val="0"/>
                <w:kern w:val="2"/>
                <w:sz w:val="24"/>
                <w:szCs w:val="24"/>
                <w:lang w:val="en-US" w:eastAsia="zh-CN" w:bidi="ar-SA"/>
              </w:rPr>
            </w:pPr>
            <w:r>
              <w:rPr>
                <w:rFonts w:hint="eastAsia" w:ascii="Times New Roman" w:hAnsi="Times New Roman" w:eastAsia="宋体" w:cs="Times New Roman"/>
                <w:b w:val="0"/>
                <w:bCs w:val="0"/>
                <w:kern w:val="2"/>
                <w:sz w:val="24"/>
                <w:szCs w:val="24"/>
                <w:lang w:val="en-US" w:eastAsia="zh-CN" w:bidi="ar-SA"/>
              </w:rPr>
              <w:t xml:space="preserve">4、实验室检验人员对检测数据进行分析、检测（此工序会有废气、噪声、废水、固体废物产生）； </w:t>
            </w:r>
          </w:p>
          <w:p w14:paraId="15956DDA">
            <w:pPr>
              <w:keepNext w:val="0"/>
              <w:keepLines w:val="0"/>
              <w:widowControl/>
              <w:suppressLineNumbers w:val="0"/>
              <w:spacing w:line="360" w:lineRule="auto"/>
              <w:ind w:firstLine="480" w:firstLineChars="200"/>
              <w:jc w:val="left"/>
              <w:rPr>
                <w:rFonts w:hint="eastAsia" w:ascii="Times New Roman" w:hAnsi="Times New Roman" w:eastAsia="宋体" w:cs="Times New Roman"/>
                <w:b w:val="0"/>
                <w:bCs w:val="0"/>
                <w:kern w:val="2"/>
                <w:sz w:val="24"/>
                <w:szCs w:val="24"/>
                <w:lang w:val="en-US" w:eastAsia="zh-CN" w:bidi="ar-SA"/>
              </w:rPr>
            </w:pPr>
            <w:r>
              <w:rPr>
                <w:rFonts w:hint="eastAsia" w:ascii="Times New Roman" w:hAnsi="Times New Roman" w:eastAsia="宋体" w:cs="Times New Roman"/>
                <w:b w:val="0"/>
                <w:bCs w:val="0"/>
                <w:kern w:val="2"/>
                <w:sz w:val="24"/>
                <w:szCs w:val="24"/>
                <w:lang w:val="en-US" w:eastAsia="zh-CN" w:bidi="ar-SA"/>
              </w:rPr>
              <w:t>5、检测人员对原始数据进行审核、检验复核无误后，出具正式检测报告，同事对副</w:t>
            </w:r>
          </w:p>
          <w:p w14:paraId="55C1FFA8">
            <w:pPr>
              <w:keepNext w:val="0"/>
              <w:keepLines w:val="0"/>
              <w:widowControl/>
              <w:suppressLineNumbers w:val="0"/>
              <w:spacing w:line="360" w:lineRule="auto"/>
              <w:ind w:firstLine="480" w:firstLineChars="200"/>
              <w:jc w:val="left"/>
              <w:rPr>
                <w:rFonts w:hint="eastAsia" w:ascii="Times New Roman" w:hAnsi="Times New Roman" w:eastAsia="宋体" w:cs="Times New Roman"/>
                <w:b w:val="0"/>
                <w:bCs w:val="0"/>
                <w:kern w:val="2"/>
                <w:sz w:val="24"/>
                <w:szCs w:val="24"/>
                <w:lang w:val="en-US" w:eastAsia="zh-CN" w:bidi="ar-SA"/>
              </w:rPr>
            </w:pPr>
            <w:r>
              <w:rPr>
                <w:rFonts w:hint="eastAsia" w:ascii="Times New Roman" w:hAnsi="Times New Roman" w:eastAsia="宋体" w:cs="Times New Roman"/>
                <w:b w:val="0"/>
                <w:bCs w:val="0"/>
                <w:kern w:val="2"/>
                <w:sz w:val="24"/>
                <w:szCs w:val="24"/>
                <w:lang w:val="en-US" w:eastAsia="zh-CN" w:bidi="ar-SA"/>
              </w:rPr>
              <w:t xml:space="preserve">本进行存档留存备案。 </w:t>
            </w:r>
          </w:p>
          <w:p w14:paraId="5690A634">
            <w:pPr>
              <w:keepNext w:val="0"/>
              <w:keepLines w:val="0"/>
              <w:widowControl/>
              <w:suppressLineNumbers w:val="0"/>
              <w:spacing w:line="360" w:lineRule="auto"/>
              <w:ind w:firstLine="480" w:firstLineChars="200"/>
              <w:jc w:val="left"/>
              <w:rPr>
                <w:rFonts w:hint="eastAsia" w:ascii="Times New Roman" w:hAnsi="Times New Roman" w:eastAsia="宋体" w:cs="Times New Roman"/>
                <w:b w:val="0"/>
                <w:bCs w:val="0"/>
                <w:kern w:val="2"/>
                <w:sz w:val="24"/>
                <w:szCs w:val="24"/>
                <w:lang w:val="en-US" w:eastAsia="zh-CN" w:bidi="ar-SA"/>
              </w:rPr>
            </w:pPr>
            <w:r>
              <w:rPr>
                <w:rFonts w:hint="eastAsia" w:ascii="Times New Roman" w:hAnsi="Times New Roman" w:eastAsia="宋体" w:cs="Times New Roman"/>
                <w:b w:val="0"/>
                <w:bCs w:val="0"/>
                <w:kern w:val="2"/>
                <w:sz w:val="24"/>
                <w:szCs w:val="24"/>
                <w:lang w:val="en-US" w:eastAsia="zh-CN" w:bidi="ar-SA"/>
              </w:rPr>
              <w:t xml:space="preserve">（2）各实验检测项目流程简介 </w:t>
            </w:r>
          </w:p>
          <w:p w14:paraId="21A46865">
            <w:pPr>
              <w:keepNext w:val="0"/>
              <w:keepLines w:val="0"/>
              <w:widowControl/>
              <w:suppressLineNumbers w:val="0"/>
              <w:spacing w:line="360" w:lineRule="auto"/>
              <w:ind w:firstLine="480" w:firstLineChars="200"/>
              <w:jc w:val="left"/>
              <w:rPr>
                <w:rFonts w:hint="eastAsia" w:ascii="Times New Roman" w:hAnsi="Times New Roman" w:eastAsia="宋体" w:cs="Times New Roman"/>
                <w:b w:val="0"/>
                <w:bCs w:val="0"/>
                <w:kern w:val="2"/>
                <w:sz w:val="24"/>
                <w:szCs w:val="24"/>
                <w:lang w:val="en-US" w:eastAsia="zh-CN" w:bidi="ar-SA"/>
              </w:rPr>
            </w:pPr>
            <w:r>
              <w:rPr>
                <w:rFonts w:hint="eastAsia" w:ascii="Times New Roman" w:hAnsi="Times New Roman" w:eastAsia="宋体" w:cs="Times New Roman"/>
                <w:b w:val="0"/>
                <w:bCs w:val="0"/>
                <w:kern w:val="2"/>
                <w:sz w:val="24"/>
                <w:szCs w:val="24"/>
                <w:lang w:val="en-US" w:eastAsia="zh-CN" w:bidi="ar-SA"/>
              </w:rPr>
              <w:t>1.无菌检测</w:t>
            </w:r>
          </w:p>
          <w:p w14:paraId="7B85A929">
            <w:pPr>
              <w:keepNext w:val="0"/>
              <w:keepLines w:val="0"/>
              <w:widowControl/>
              <w:suppressLineNumbers w:val="0"/>
              <w:spacing w:line="360" w:lineRule="auto"/>
              <w:ind w:firstLine="480" w:firstLineChars="200"/>
              <w:jc w:val="left"/>
              <w:rPr>
                <w:rFonts w:hint="eastAsia" w:ascii="Times New Roman" w:hAnsi="Times New Roman" w:eastAsia="宋体" w:cs="Times New Roman"/>
                <w:b w:val="0"/>
                <w:bCs w:val="0"/>
                <w:kern w:val="2"/>
                <w:sz w:val="24"/>
                <w:szCs w:val="24"/>
                <w:lang w:val="en-US" w:eastAsia="zh-CN" w:bidi="ar-SA"/>
              </w:rPr>
            </w:pPr>
            <w:r>
              <w:rPr>
                <w:rFonts w:hint="eastAsia" w:ascii="Times New Roman" w:hAnsi="Times New Roman" w:eastAsia="宋体" w:cs="Times New Roman"/>
                <w:b w:val="0"/>
                <w:bCs w:val="0"/>
                <w:kern w:val="2"/>
                <w:sz w:val="24"/>
                <w:szCs w:val="24"/>
                <w:lang w:val="en-US" w:eastAsia="zh-CN" w:bidi="ar-SA"/>
              </w:rPr>
              <w:t>无菌检测主要的工艺流程是将样品（外周血）的加入到培养基中进行培养14天备用， 然后接入阳性菌（金黄色葡萄球菌、大肠杆菌、白色念珠菌）等进行培养，培养时间为3-5 天，然后进行实验结果检测，最终实验结束，具体工艺流</w:t>
            </w:r>
            <w:r>
              <w:rPr>
                <w:rFonts w:hint="eastAsia" w:ascii="Times New Roman" w:hAnsi="Times New Roman" w:eastAsia="宋体" w:cs="Times New Roman"/>
                <w:b w:val="0"/>
                <w:bCs w:val="0"/>
                <w:kern w:val="2"/>
                <w:sz w:val="24"/>
                <w:szCs w:val="24"/>
                <w:highlight w:val="none"/>
                <w:lang w:val="en-US" w:eastAsia="zh-CN" w:bidi="ar-SA"/>
              </w:rPr>
              <w:t>程见图2-6</w:t>
            </w:r>
            <w:r>
              <w:rPr>
                <w:rFonts w:hint="eastAsia" w:ascii="Times New Roman" w:hAnsi="Times New Roman" w:eastAsia="宋体" w:cs="Times New Roman"/>
                <w:b w:val="0"/>
                <w:bCs w:val="0"/>
                <w:kern w:val="2"/>
                <w:sz w:val="24"/>
                <w:szCs w:val="24"/>
                <w:lang w:val="en-US" w:eastAsia="zh-CN" w:bidi="ar-SA"/>
              </w:rPr>
              <w:t>，实验结束后产生的废培养基，阳性菌、检测使用的检测废液等通过高温灭菌后均按危险废物处置收集，实验过程中产生废手套、废口罩、废移液枪头等也按照危险废物处置收集，安排专职人员将危险废物转移至危废暂存间贮存。实验过程中产生的噪声、其他固体废物等。通过相关处理措施处理后，对周边环境影响很小。</w:t>
            </w:r>
          </w:p>
          <w:p w14:paraId="196CAE22">
            <w:pPr>
              <w:keepNext w:val="0"/>
              <w:keepLines w:val="0"/>
              <w:widowControl/>
              <w:suppressLineNumbers w:val="0"/>
              <w:spacing w:line="360" w:lineRule="auto"/>
              <w:ind w:firstLine="420" w:firstLineChars="200"/>
              <w:jc w:val="center"/>
            </w:pPr>
            <w:r>
              <w:drawing>
                <wp:inline distT="0" distB="0" distL="114300" distR="114300">
                  <wp:extent cx="4211320" cy="2486025"/>
                  <wp:effectExtent l="0" t="0" r="17780" b="9525"/>
                  <wp:docPr id="8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7"/>
                          <pic:cNvPicPr>
                            <a:picLocks noChangeAspect="1"/>
                          </pic:cNvPicPr>
                        </pic:nvPicPr>
                        <pic:blipFill>
                          <a:blip r:embed="rId13"/>
                          <a:stretch>
                            <a:fillRect/>
                          </a:stretch>
                        </pic:blipFill>
                        <pic:spPr>
                          <a:xfrm>
                            <a:off x="0" y="0"/>
                            <a:ext cx="4211320" cy="2486025"/>
                          </a:xfrm>
                          <a:prstGeom prst="rect">
                            <a:avLst/>
                          </a:prstGeom>
                          <a:noFill/>
                          <a:ln>
                            <a:noFill/>
                          </a:ln>
                        </pic:spPr>
                      </pic:pic>
                    </a:graphicData>
                  </a:graphic>
                </wp:inline>
              </w:drawing>
            </w:r>
          </w:p>
          <w:p w14:paraId="5AD24502">
            <w:pPr>
              <w:keepNext w:val="0"/>
              <w:keepLines w:val="0"/>
              <w:widowControl/>
              <w:suppressLineNumbers w:val="0"/>
              <w:spacing w:line="360" w:lineRule="auto"/>
              <w:jc w:val="center"/>
              <w:rPr>
                <w:rFonts w:hint="eastAsia" w:ascii="Times New Roman" w:hAnsi="Times New Roman" w:cs="Times New Roman"/>
                <w:b/>
                <w:bCs/>
                <w:kern w:val="2"/>
                <w:sz w:val="24"/>
                <w:szCs w:val="24"/>
                <w:lang w:val="en-US" w:eastAsia="zh-CN" w:bidi="ar-SA"/>
              </w:rPr>
            </w:pPr>
            <w:r>
              <w:rPr>
                <w:rFonts w:hint="eastAsia" w:ascii="Times New Roman" w:hAnsi="Times New Roman" w:cs="Times New Roman"/>
                <w:b/>
                <w:bCs/>
                <w:kern w:val="2"/>
                <w:sz w:val="24"/>
                <w:szCs w:val="24"/>
                <w:lang w:val="en-US" w:eastAsia="zh-CN" w:bidi="ar-SA"/>
              </w:rPr>
              <w:t>图2-6</w:t>
            </w:r>
            <w:r>
              <w:rPr>
                <w:rFonts w:hint="default" w:ascii="Times New Roman" w:hAnsi="Times New Roman" w:cs="Times New Roman"/>
                <w:b/>
                <w:bCs/>
                <w:kern w:val="2"/>
                <w:sz w:val="24"/>
                <w:szCs w:val="24"/>
                <w:lang w:val="en-US" w:eastAsia="zh-CN" w:bidi="ar-SA"/>
              </w:rPr>
              <w:t xml:space="preserve"> </w:t>
            </w:r>
            <w:r>
              <w:rPr>
                <w:rFonts w:hint="eastAsia" w:ascii="Times New Roman" w:hAnsi="Times New Roman" w:cs="Times New Roman"/>
                <w:b/>
                <w:bCs/>
                <w:kern w:val="2"/>
                <w:sz w:val="24"/>
                <w:szCs w:val="24"/>
                <w:lang w:val="en-US" w:eastAsia="zh-CN" w:bidi="ar-SA"/>
              </w:rPr>
              <w:t>无菌检测工艺流程图</w:t>
            </w:r>
          </w:p>
          <w:p w14:paraId="4198A04F">
            <w:pPr>
              <w:keepNext w:val="0"/>
              <w:keepLines w:val="0"/>
              <w:widowControl/>
              <w:suppressLineNumbers w:val="0"/>
              <w:spacing w:line="360" w:lineRule="auto"/>
              <w:ind w:firstLine="480" w:firstLineChars="200"/>
              <w:jc w:val="left"/>
              <w:rPr>
                <w:rFonts w:hint="eastAsia" w:ascii="Times New Roman" w:hAnsi="Times New Roman" w:eastAsia="宋体" w:cs="Times New Roman"/>
                <w:b w:val="0"/>
                <w:bCs w:val="0"/>
                <w:kern w:val="2"/>
                <w:sz w:val="24"/>
                <w:szCs w:val="24"/>
                <w:lang w:val="en-US" w:eastAsia="zh-CN" w:bidi="ar-SA"/>
              </w:rPr>
            </w:pPr>
            <w:r>
              <w:rPr>
                <w:rFonts w:hint="eastAsia" w:ascii="Times New Roman" w:hAnsi="Times New Roman" w:eastAsia="宋体" w:cs="Times New Roman"/>
                <w:b w:val="0"/>
                <w:bCs w:val="0"/>
                <w:kern w:val="2"/>
                <w:sz w:val="24"/>
                <w:szCs w:val="24"/>
                <w:lang w:val="en-US" w:eastAsia="zh-CN" w:bidi="ar-SA"/>
              </w:rPr>
              <w:t>2.支原体检测</w:t>
            </w:r>
          </w:p>
          <w:p w14:paraId="13BE345F">
            <w:pPr>
              <w:keepNext w:val="0"/>
              <w:keepLines w:val="0"/>
              <w:widowControl/>
              <w:suppressLineNumbers w:val="0"/>
              <w:spacing w:line="360" w:lineRule="auto"/>
              <w:ind w:firstLine="480" w:firstLineChars="200"/>
              <w:jc w:val="left"/>
              <w:rPr>
                <w:rFonts w:hint="eastAsia" w:ascii="Times New Roman" w:hAnsi="Times New Roman" w:eastAsia="宋体" w:cs="Times New Roman"/>
                <w:b w:val="0"/>
                <w:bCs w:val="0"/>
                <w:kern w:val="2"/>
                <w:sz w:val="24"/>
                <w:szCs w:val="24"/>
                <w:lang w:val="en-US" w:eastAsia="zh-CN" w:bidi="ar-SA"/>
              </w:rPr>
            </w:pPr>
            <w:r>
              <w:rPr>
                <w:rFonts w:hint="eastAsia" w:ascii="Times New Roman" w:hAnsi="Times New Roman" w:eastAsia="宋体" w:cs="Times New Roman"/>
                <w:b w:val="0"/>
                <w:bCs w:val="0"/>
                <w:kern w:val="2"/>
                <w:sz w:val="24"/>
                <w:szCs w:val="24"/>
                <w:lang w:val="en-US" w:eastAsia="zh-CN" w:bidi="ar-SA"/>
              </w:rPr>
              <w:t>支原体检测主要是将样品（细胞悬液）加入培养基中，离心静置，加入支原体阳性菌梯度稀释，组成实验组，放入培养基中进行培养，培养时间为14-21天，然后进行实验观察，实验结束后产生的废培养基，阳性菌、检测使用的检测废液等通过高温灭菌后均按危险废物处置收集，实验过程中产生废手套、废口罩、废移液枪头等也按照危险废物处置收集，安排专职人员将危险废物转移至危废暂存间贮存。实验过程中产生的噪声、其他固体废物等。通过相关处理措施处理后，对周边环境影响很小。</w:t>
            </w:r>
          </w:p>
          <w:p w14:paraId="7C8D0EC6">
            <w:pPr>
              <w:keepNext w:val="0"/>
              <w:keepLines w:val="0"/>
              <w:widowControl/>
              <w:suppressLineNumbers w:val="0"/>
              <w:spacing w:line="360" w:lineRule="auto"/>
              <w:jc w:val="center"/>
              <w:rPr>
                <w:rFonts w:hint="eastAsia" w:ascii="Times New Roman" w:hAnsi="Times New Roman" w:eastAsia="宋体" w:cs="Times New Roman"/>
                <w:b w:val="0"/>
                <w:bCs w:val="0"/>
                <w:kern w:val="2"/>
                <w:sz w:val="24"/>
                <w:szCs w:val="24"/>
                <w:lang w:val="en-US" w:eastAsia="zh-CN" w:bidi="ar-SA"/>
              </w:rPr>
            </w:pPr>
            <w:r>
              <w:drawing>
                <wp:inline distT="0" distB="0" distL="114300" distR="114300">
                  <wp:extent cx="5596890" cy="2831465"/>
                  <wp:effectExtent l="0" t="0" r="3810" b="6985"/>
                  <wp:docPr id="8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
                          <pic:cNvPicPr>
                            <a:picLocks noChangeAspect="1"/>
                          </pic:cNvPicPr>
                        </pic:nvPicPr>
                        <pic:blipFill>
                          <a:blip r:embed="rId14"/>
                          <a:stretch>
                            <a:fillRect/>
                          </a:stretch>
                        </pic:blipFill>
                        <pic:spPr>
                          <a:xfrm>
                            <a:off x="0" y="0"/>
                            <a:ext cx="5596890" cy="2831465"/>
                          </a:xfrm>
                          <a:prstGeom prst="rect">
                            <a:avLst/>
                          </a:prstGeom>
                          <a:noFill/>
                          <a:ln>
                            <a:noFill/>
                          </a:ln>
                        </pic:spPr>
                      </pic:pic>
                    </a:graphicData>
                  </a:graphic>
                </wp:inline>
              </w:drawing>
            </w:r>
          </w:p>
          <w:p w14:paraId="7B8AEE4F">
            <w:pPr>
              <w:keepNext w:val="0"/>
              <w:keepLines w:val="0"/>
              <w:widowControl/>
              <w:suppressLineNumbers w:val="0"/>
              <w:spacing w:line="360" w:lineRule="auto"/>
              <w:jc w:val="center"/>
              <w:rPr>
                <w:rFonts w:hint="eastAsia" w:ascii="Times New Roman" w:hAnsi="Times New Roman" w:cs="Times New Roman"/>
                <w:b/>
                <w:bCs/>
                <w:kern w:val="2"/>
                <w:sz w:val="24"/>
                <w:szCs w:val="24"/>
                <w:lang w:val="en-US" w:eastAsia="zh-CN" w:bidi="ar-SA"/>
              </w:rPr>
            </w:pPr>
            <w:r>
              <w:rPr>
                <w:rFonts w:hint="eastAsia" w:ascii="Times New Roman" w:hAnsi="Times New Roman" w:cs="Times New Roman"/>
                <w:b/>
                <w:bCs/>
                <w:kern w:val="2"/>
                <w:sz w:val="24"/>
                <w:szCs w:val="24"/>
                <w:lang w:val="en-US" w:eastAsia="zh-CN" w:bidi="ar-SA"/>
              </w:rPr>
              <w:t>图2-7 支原体检测工艺流程图</w:t>
            </w:r>
          </w:p>
          <w:p w14:paraId="77701558">
            <w:pPr>
              <w:keepNext w:val="0"/>
              <w:keepLines w:val="0"/>
              <w:widowControl/>
              <w:suppressLineNumbers w:val="0"/>
              <w:spacing w:line="360" w:lineRule="auto"/>
              <w:ind w:firstLine="480" w:firstLineChars="200"/>
              <w:jc w:val="left"/>
              <w:rPr>
                <w:rFonts w:hint="eastAsia" w:ascii="Times New Roman" w:hAnsi="Times New Roman" w:eastAsia="宋体" w:cs="Times New Roman"/>
                <w:b w:val="0"/>
                <w:bCs w:val="0"/>
                <w:kern w:val="2"/>
                <w:sz w:val="24"/>
                <w:szCs w:val="24"/>
                <w:lang w:val="en-US" w:eastAsia="zh-CN" w:bidi="ar-SA"/>
              </w:rPr>
            </w:pPr>
            <w:r>
              <w:rPr>
                <w:rFonts w:hint="eastAsia" w:ascii="Times New Roman" w:hAnsi="Times New Roman" w:eastAsia="宋体" w:cs="Times New Roman"/>
                <w:b w:val="0"/>
                <w:bCs w:val="0"/>
                <w:kern w:val="2"/>
                <w:sz w:val="24"/>
                <w:szCs w:val="24"/>
                <w:lang w:val="en-US" w:eastAsia="zh-CN" w:bidi="ar-SA"/>
              </w:rPr>
              <w:t>3.流式细胞检测</w:t>
            </w:r>
          </w:p>
          <w:p w14:paraId="0B5B31B5">
            <w:pPr>
              <w:keepNext w:val="0"/>
              <w:keepLines w:val="0"/>
              <w:widowControl/>
              <w:suppressLineNumbers w:val="0"/>
              <w:spacing w:line="360" w:lineRule="auto"/>
              <w:ind w:firstLine="480" w:firstLineChars="200"/>
              <w:jc w:val="left"/>
              <w:rPr>
                <w:rFonts w:hint="eastAsia" w:ascii="Times New Roman" w:hAnsi="Times New Roman" w:eastAsia="宋体" w:cs="Times New Roman"/>
                <w:b w:val="0"/>
                <w:bCs w:val="0"/>
                <w:kern w:val="2"/>
                <w:sz w:val="24"/>
                <w:szCs w:val="24"/>
                <w:lang w:val="en-US" w:eastAsia="zh-CN" w:bidi="ar-SA"/>
              </w:rPr>
            </w:pPr>
            <w:r>
              <w:rPr>
                <w:rFonts w:hint="eastAsia" w:ascii="Times New Roman" w:hAnsi="Times New Roman" w:eastAsia="宋体" w:cs="Times New Roman"/>
                <w:b w:val="0"/>
                <w:bCs w:val="0"/>
                <w:kern w:val="2"/>
                <w:sz w:val="24"/>
                <w:szCs w:val="24"/>
                <w:lang w:val="en-US" w:eastAsia="zh-CN" w:bidi="ar-SA"/>
              </w:rPr>
              <w:t>流式细胞检测是将外周血（含乙肝或丙肝病毒）进行孵育15分钟，加入裂解液，再孵育15分钟，用离心机进行离心，沉淀，弃上清（血清+缓冲液，可能含病毒），剩下部分上机检测，检测完成后会产生检测废液、废手套、废移液枪头等危险废物，危险废物由有资质的单位进行处理，离心机会产生噪声，为间歇性噪声，通过相应处理措施处理后，不会对周边环境造成影响。</w:t>
            </w:r>
          </w:p>
          <w:p w14:paraId="45424A58">
            <w:pPr>
              <w:keepNext w:val="0"/>
              <w:keepLines w:val="0"/>
              <w:widowControl/>
              <w:suppressLineNumbers w:val="0"/>
              <w:spacing w:line="360" w:lineRule="auto"/>
              <w:jc w:val="center"/>
              <w:rPr>
                <w:rFonts w:hint="eastAsia" w:ascii="Times New Roman" w:hAnsi="Times New Roman" w:eastAsia="宋体" w:cs="Times New Roman"/>
                <w:b w:val="0"/>
                <w:bCs w:val="0"/>
                <w:kern w:val="2"/>
                <w:sz w:val="24"/>
                <w:szCs w:val="24"/>
                <w:lang w:val="en-US" w:eastAsia="zh-CN" w:bidi="ar-SA"/>
              </w:rPr>
            </w:pPr>
            <w:r>
              <w:drawing>
                <wp:inline distT="0" distB="0" distL="114300" distR="114300">
                  <wp:extent cx="5615940" cy="2689225"/>
                  <wp:effectExtent l="0" t="0" r="3810" b="1587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5"/>
                          <a:stretch>
                            <a:fillRect/>
                          </a:stretch>
                        </pic:blipFill>
                        <pic:spPr>
                          <a:xfrm>
                            <a:off x="0" y="0"/>
                            <a:ext cx="5615940" cy="2689225"/>
                          </a:xfrm>
                          <a:prstGeom prst="rect">
                            <a:avLst/>
                          </a:prstGeom>
                          <a:noFill/>
                          <a:ln>
                            <a:noFill/>
                          </a:ln>
                        </pic:spPr>
                      </pic:pic>
                    </a:graphicData>
                  </a:graphic>
                </wp:inline>
              </w:drawing>
            </w:r>
          </w:p>
          <w:p w14:paraId="2DDD6906">
            <w:pPr>
              <w:keepNext w:val="0"/>
              <w:keepLines w:val="0"/>
              <w:widowControl/>
              <w:suppressLineNumbers w:val="0"/>
              <w:spacing w:line="360" w:lineRule="auto"/>
              <w:jc w:val="center"/>
              <w:rPr>
                <w:rFonts w:hint="default" w:ascii="Times New Roman" w:hAnsi="Times New Roman" w:cs="Times New Roman"/>
                <w:sz w:val="24"/>
                <w:szCs w:val="24"/>
                <w:lang w:val="en-US" w:eastAsia="zh-CN"/>
              </w:rPr>
            </w:pPr>
            <w:r>
              <w:rPr>
                <w:rFonts w:hint="eastAsia" w:ascii="Times New Roman" w:hAnsi="Times New Roman" w:cs="Times New Roman"/>
                <w:b/>
                <w:bCs/>
                <w:kern w:val="2"/>
                <w:sz w:val="24"/>
                <w:szCs w:val="24"/>
                <w:lang w:val="en-US" w:eastAsia="zh-CN" w:bidi="ar-SA"/>
              </w:rPr>
              <w:t>图2-8 流式细胞检测工艺流程图</w:t>
            </w:r>
          </w:p>
        </w:tc>
      </w:tr>
      <w:bookmarkEnd w:id="2"/>
    </w:tbl>
    <w:p w14:paraId="1997C409">
      <w:pPr>
        <w:pStyle w:val="2"/>
        <w:rPr>
          <w:rFonts w:hint="eastAsia" w:ascii="Times New Roman" w:hAnsi="Times New Roman" w:eastAsia="宋体" w:cs="Times New Roman"/>
          <w:b/>
          <w:bCs w:val="0"/>
          <w:sz w:val="28"/>
          <w:szCs w:val="28"/>
          <w:lang w:val="en-US" w:eastAsia="zh-CN"/>
        </w:rPr>
      </w:pPr>
      <w:r>
        <w:rPr>
          <w:rFonts w:hint="default" w:ascii="Times New Roman" w:hAnsi="Times New Roman" w:eastAsia="宋体" w:cs="Times New Roman"/>
          <w:b/>
          <w:bCs w:val="0"/>
          <w:sz w:val="28"/>
          <w:szCs w:val="28"/>
        </w:rPr>
        <w:t>表</w:t>
      </w:r>
      <w:r>
        <w:rPr>
          <w:rFonts w:hint="eastAsia" w:ascii="Times New Roman" w:hAnsi="Times New Roman" w:eastAsia="宋体" w:cs="Times New Roman"/>
          <w:b/>
          <w:bCs w:val="0"/>
          <w:sz w:val="28"/>
          <w:szCs w:val="28"/>
          <w:lang w:val="en-US" w:eastAsia="zh-CN"/>
        </w:rPr>
        <w:t>三</w:t>
      </w:r>
    </w:p>
    <w:tbl>
      <w:tblPr>
        <w:tblStyle w:val="3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287"/>
      </w:tblGrid>
      <w:tr w14:paraId="7B7D2D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54" w:hRule="atLeast"/>
        </w:trPr>
        <w:tc>
          <w:tcPr>
            <w:tcW w:w="9256" w:type="dxa"/>
          </w:tcPr>
          <w:p w14:paraId="7F224DB9">
            <w:pPr>
              <w:spacing w:line="360" w:lineRule="auto"/>
              <w:rPr>
                <w:rFonts w:hint="default" w:ascii="Times New Roman" w:hAnsi="Times New Roman" w:cs="Times New Roman"/>
                <w:b/>
                <w:bCs/>
                <w:sz w:val="24"/>
                <w:szCs w:val="28"/>
              </w:rPr>
            </w:pPr>
            <w:bookmarkStart w:id="14" w:name="_Toc515281379"/>
            <w:bookmarkStart w:id="15" w:name="_Toc503774165"/>
            <w:r>
              <w:rPr>
                <w:rFonts w:hint="default" w:ascii="Times New Roman" w:hAnsi="Times New Roman" w:cs="Times New Roman"/>
                <w:b/>
                <w:bCs/>
                <w:sz w:val="24"/>
                <w:szCs w:val="28"/>
              </w:rPr>
              <w:t>主要污染源、污染物处理和排放</w:t>
            </w:r>
            <w:bookmarkEnd w:id="14"/>
            <w:bookmarkEnd w:id="15"/>
          </w:p>
          <w:p w14:paraId="4FC48094">
            <w:pPr>
              <w:keepNext w:val="0"/>
              <w:keepLines w:val="0"/>
              <w:pageBreakBefore w:val="0"/>
              <w:kinsoku/>
              <w:wordWrap/>
              <w:overflowPunct/>
              <w:topLinePunct w:val="0"/>
              <w:autoSpaceDE/>
              <w:autoSpaceDN/>
              <w:bidi w:val="0"/>
              <w:snapToGrid w:val="0"/>
              <w:spacing w:line="360" w:lineRule="auto"/>
              <w:textAlignment w:val="auto"/>
              <w:rPr>
                <w:rFonts w:hint="default" w:ascii="Times New Roman" w:hAnsi="Times New Roman" w:cs="Times New Roman"/>
                <w:b/>
                <w:bCs/>
                <w:color w:val="auto"/>
                <w:sz w:val="24"/>
                <w:szCs w:val="24"/>
                <w:highlight w:val="none"/>
                <w:lang w:val="en-US" w:eastAsia="zh-CN"/>
              </w:rPr>
            </w:pPr>
            <w:r>
              <w:rPr>
                <w:rFonts w:hint="eastAsia" w:ascii="Times New Roman" w:hAnsi="Times New Roman" w:cs="Times New Roman"/>
                <w:b/>
                <w:bCs/>
                <w:color w:val="auto"/>
                <w:sz w:val="24"/>
                <w:szCs w:val="24"/>
                <w:highlight w:val="none"/>
                <w:lang w:val="en-US" w:eastAsia="zh-CN"/>
              </w:rPr>
              <w:t>一</w:t>
            </w:r>
            <w:r>
              <w:rPr>
                <w:rFonts w:hint="default" w:ascii="Times New Roman" w:hAnsi="Times New Roman" w:cs="Times New Roman"/>
                <w:b/>
                <w:bCs/>
                <w:color w:val="auto"/>
                <w:sz w:val="24"/>
                <w:szCs w:val="24"/>
                <w:highlight w:val="none"/>
                <w:lang w:val="en-US" w:eastAsia="zh-CN"/>
              </w:rPr>
              <w:t>、废水</w:t>
            </w:r>
          </w:p>
          <w:p w14:paraId="01A24CA7">
            <w:pPr>
              <w:keepNext w:val="0"/>
              <w:keepLines w:val="0"/>
              <w:widowControl/>
              <w:suppressLineNumbers w:val="0"/>
              <w:spacing w:line="360" w:lineRule="auto"/>
              <w:ind w:firstLine="488" w:firstLineChars="200"/>
              <w:jc w:val="left"/>
              <w:rPr>
                <w:rFonts w:hint="eastAsia" w:ascii="Times New Roman" w:hAnsi="Times New Roman" w:eastAsia="宋体" w:cs="Times New Roman"/>
                <w:color w:val="auto"/>
                <w:spacing w:val="2"/>
                <w:sz w:val="24"/>
                <w:szCs w:val="24"/>
                <w:highlight w:val="none"/>
                <w:lang w:val="en-US" w:eastAsia="zh-CN"/>
              </w:rPr>
            </w:pPr>
            <w:r>
              <w:rPr>
                <w:rFonts w:hint="default" w:ascii="Times New Roman" w:hAnsi="Times New Roman" w:cs="Times New Roman"/>
                <w:color w:val="auto"/>
                <w:spacing w:val="2"/>
                <w:sz w:val="24"/>
                <w:szCs w:val="24"/>
                <w:highlight w:val="none"/>
                <w:lang w:val="en-US" w:eastAsia="zh-CN"/>
              </w:rPr>
              <w:t>本项</w:t>
            </w:r>
            <w:r>
              <w:rPr>
                <w:rFonts w:hint="eastAsia" w:ascii="Times New Roman" w:hAnsi="Times New Roman" w:cs="Times New Roman"/>
                <w:sz w:val="24"/>
                <w:szCs w:val="24"/>
                <w:lang w:val="en-US" w:eastAsia="zh-CN"/>
              </w:rPr>
              <w:t>废水</w:t>
            </w:r>
            <w:r>
              <w:rPr>
                <w:rFonts w:hint="eastAsia" w:ascii="Times New Roman" w:hAnsi="Times New Roman" w:eastAsia="宋体" w:cs="Times New Roman"/>
                <w:color w:val="auto"/>
                <w:sz w:val="24"/>
                <w:szCs w:val="24"/>
                <w:lang w:val="en-US" w:eastAsia="zh-CN"/>
              </w:rPr>
              <w:t>主要为</w:t>
            </w:r>
            <w:r>
              <w:rPr>
                <w:rFonts w:hint="eastAsia" w:ascii="Times New Roman" w:hAnsi="Times New Roman" w:eastAsia="宋体" w:cs="Times New Roman"/>
                <w:b w:val="0"/>
                <w:bCs w:val="0"/>
                <w:kern w:val="2"/>
                <w:sz w:val="24"/>
                <w:szCs w:val="24"/>
                <w:lang w:val="en-US" w:eastAsia="zh-CN" w:bidi="ar-SA"/>
              </w:rPr>
              <w:t>生活污水，生产废水（实验室地面、操作台等清洗废水、员工洁净服清洗废水、制纯废水），生活污水主要是员工日常用水；检测废水作为危废处置，不外排，实验室地面、操作台等清洗废水、员工洁净服清洗废水和制纯废水通过污水处理站进行处理，处理后和生活污水一同排入开发区东区污水处理厂。</w:t>
            </w:r>
          </w:p>
          <w:p w14:paraId="357AF672">
            <w:pPr>
              <w:keepNext w:val="0"/>
              <w:keepLines w:val="0"/>
              <w:pageBreakBefore w:val="0"/>
              <w:widowControl w:val="0"/>
              <w:kinsoku/>
              <w:wordWrap/>
              <w:overflowPunct/>
              <w:topLinePunct w:val="0"/>
              <w:autoSpaceDE/>
              <w:autoSpaceDN/>
              <w:bidi w:val="0"/>
              <w:adjustRightInd/>
              <w:snapToGrid w:val="0"/>
              <w:spacing w:line="360" w:lineRule="auto"/>
              <w:ind w:left="0" w:leftChars="0" w:right="0" w:rightChars="0" w:firstLine="420" w:firstLineChars="200"/>
              <w:jc w:val="center"/>
              <w:textAlignment w:val="auto"/>
              <w:outlineLvl w:val="9"/>
            </w:pPr>
            <w:r>
              <w:drawing>
                <wp:inline distT="0" distB="0" distL="114300" distR="114300">
                  <wp:extent cx="2163445" cy="1622425"/>
                  <wp:effectExtent l="0" t="0" r="8255" b="1587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6"/>
                          <a:stretch>
                            <a:fillRect/>
                          </a:stretch>
                        </pic:blipFill>
                        <pic:spPr>
                          <a:xfrm>
                            <a:off x="0" y="0"/>
                            <a:ext cx="2163445" cy="1622425"/>
                          </a:xfrm>
                          <a:prstGeom prst="rect">
                            <a:avLst/>
                          </a:prstGeom>
                          <a:noFill/>
                          <a:ln>
                            <a:noFill/>
                          </a:ln>
                        </pic:spPr>
                      </pic:pic>
                    </a:graphicData>
                  </a:graphic>
                </wp:inline>
              </w:drawing>
            </w:r>
          </w:p>
          <w:p w14:paraId="0673BB7E">
            <w:pPr>
              <w:keepNext w:val="0"/>
              <w:keepLines w:val="0"/>
              <w:pageBreakBefore w:val="0"/>
              <w:widowControl w:val="0"/>
              <w:kinsoku/>
              <w:wordWrap/>
              <w:overflowPunct/>
              <w:topLinePunct w:val="0"/>
              <w:autoSpaceDE/>
              <w:autoSpaceDN/>
              <w:bidi w:val="0"/>
              <w:adjustRightInd/>
              <w:snapToGrid w:val="0"/>
              <w:spacing w:line="360" w:lineRule="auto"/>
              <w:ind w:left="0" w:leftChars="0" w:right="0" w:rightChars="0" w:firstLine="482" w:firstLineChars="200"/>
              <w:jc w:val="center"/>
              <w:textAlignment w:val="auto"/>
              <w:outlineLvl w:val="9"/>
              <w:rPr>
                <w:rFonts w:hint="default"/>
                <w:highlight w:val="yellow"/>
                <w:lang w:val="en-US" w:eastAsia="zh-CN"/>
              </w:rPr>
            </w:pPr>
            <w:r>
              <w:rPr>
                <w:rFonts w:hint="default" w:ascii="Times New Roman" w:hAnsi="Times New Roman" w:eastAsia="宋体" w:cs="Times New Roman"/>
                <w:b/>
                <w:bCs/>
                <w:color w:val="auto"/>
                <w:kern w:val="2"/>
                <w:sz w:val="24"/>
                <w:szCs w:val="24"/>
                <w:highlight w:val="yellow"/>
                <w:lang w:val="en-US" w:eastAsia="zh-CN" w:bidi="ar-SA"/>
              </w:rPr>
              <w:t>图3-</w:t>
            </w:r>
            <w:r>
              <w:rPr>
                <w:rFonts w:hint="eastAsia" w:ascii="Times New Roman" w:hAnsi="Times New Roman" w:eastAsia="宋体" w:cs="Times New Roman"/>
                <w:b/>
                <w:bCs/>
                <w:color w:val="auto"/>
                <w:kern w:val="2"/>
                <w:sz w:val="24"/>
                <w:szCs w:val="24"/>
                <w:highlight w:val="yellow"/>
                <w:lang w:val="en-US" w:eastAsia="zh-CN" w:bidi="ar-SA"/>
              </w:rPr>
              <w:t>1</w:t>
            </w:r>
            <w:r>
              <w:rPr>
                <w:rFonts w:hint="default" w:ascii="Times New Roman" w:hAnsi="Times New Roman" w:eastAsia="宋体" w:cs="Times New Roman"/>
                <w:b/>
                <w:bCs/>
                <w:color w:val="auto"/>
                <w:kern w:val="2"/>
                <w:sz w:val="24"/>
                <w:szCs w:val="24"/>
                <w:highlight w:val="yellow"/>
                <w:lang w:val="en-US" w:eastAsia="zh-CN" w:bidi="ar-SA"/>
              </w:rPr>
              <w:t xml:space="preserve"> 废</w:t>
            </w:r>
            <w:r>
              <w:rPr>
                <w:rFonts w:hint="eastAsia" w:ascii="Times New Roman" w:hAnsi="Times New Roman" w:eastAsia="宋体" w:cs="Times New Roman"/>
                <w:b/>
                <w:bCs/>
                <w:color w:val="auto"/>
                <w:kern w:val="2"/>
                <w:sz w:val="24"/>
                <w:szCs w:val="24"/>
                <w:highlight w:val="yellow"/>
                <w:lang w:val="en-US" w:eastAsia="zh-CN" w:bidi="ar-SA"/>
              </w:rPr>
              <w:t>水总排口</w:t>
            </w:r>
          </w:p>
          <w:p w14:paraId="56FC70CC">
            <w:pPr>
              <w:keepNext w:val="0"/>
              <w:keepLines w:val="0"/>
              <w:pageBreakBefore w:val="0"/>
              <w:numPr>
                <w:ilvl w:val="0"/>
                <w:numId w:val="0"/>
              </w:numPr>
              <w:kinsoku/>
              <w:wordWrap/>
              <w:overflowPunct/>
              <w:topLinePunct w:val="0"/>
              <w:autoSpaceDE/>
              <w:autoSpaceDN/>
              <w:bidi w:val="0"/>
              <w:snapToGrid w:val="0"/>
              <w:spacing w:line="360" w:lineRule="auto"/>
              <w:textAlignment w:val="auto"/>
              <w:rPr>
                <w:rFonts w:hint="default" w:ascii="Times New Roman" w:hAnsi="Times New Roman" w:cs="Times New Roman"/>
                <w:b/>
                <w:bCs/>
                <w:color w:val="auto"/>
                <w:sz w:val="24"/>
                <w:szCs w:val="24"/>
                <w:highlight w:val="none"/>
                <w:lang w:val="en-US" w:eastAsia="zh-CN"/>
              </w:rPr>
            </w:pPr>
            <w:r>
              <w:rPr>
                <w:rFonts w:hint="eastAsia" w:ascii="Times New Roman" w:hAnsi="Times New Roman" w:cs="Times New Roman"/>
                <w:b/>
                <w:bCs/>
                <w:color w:val="auto"/>
                <w:sz w:val="24"/>
                <w:szCs w:val="24"/>
                <w:highlight w:val="none"/>
                <w:lang w:val="en-US" w:eastAsia="zh-CN"/>
              </w:rPr>
              <w:t>二、</w:t>
            </w:r>
            <w:r>
              <w:rPr>
                <w:rFonts w:hint="default" w:ascii="Times New Roman" w:hAnsi="Times New Roman" w:cs="Times New Roman"/>
                <w:b/>
                <w:bCs/>
                <w:color w:val="auto"/>
                <w:sz w:val="24"/>
                <w:szCs w:val="24"/>
                <w:highlight w:val="none"/>
                <w:lang w:val="en-US" w:eastAsia="zh-CN"/>
              </w:rPr>
              <w:t>废气</w:t>
            </w:r>
          </w:p>
          <w:p w14:paraId="20E5BD60">
            <w:pPr>
              <w:keepNext w:val="0"/>
              <w:keepLines w:val="0"/>
              <w:widowControl/>
              <w:suppressLineNumbers w:val="0"/>
              <w:spacing w:line="360" w:lineRule="auto"/>
              <w:ind w:firstLine="488" w:firstLineChars="200"/>
              <w:jc w:val="left"/>
              <w:rPr>
                <w:rFonts w:hint="eastAsia" w:ascii="Times New Roman" w:hAnsi="Times New Roman" w:cs="Times New Roman"/>
                <w:color w:val="auto"/>
                <w:spacing w:val="2"/>
                <w:sz w:val="24"/>
                <w:szCs w:val="24"/>
                <w:highlight w:val="none"/>
                <w:lang w:val="en-US" w:eastAsia="zh-CN"/>
              </w:rPr>
            </w:pPr>
            <w:r>
              <w:rPr>
                <w:rFonts w:hint="eastAsia" w:ascii="Times New Roman" w:hAnsi="Times New Roman" w:cs="Times New Roman"/>
                <w:color w:val="auto"/>
                <w:spacing w:val="2"/>
                <w:sz w:val="24"/>
                <w:szCs w:val="24"/>
                <w:highlight w:val="none"/>
                <w:lang w:val="en-US" w:eastAsia="zh-CN"/>
              </w:rPr>
              <w:t>本项目无锅炉、食堂，无锅炉废气、油烟等大气污染物产生。</w:t>
            </w:r>
            <w:r>
              <w:rPr>
                <w:rFonts w:hint="eastAsia" w:ascii="Times New Roman" w:hAnsi="Times New Roman" w:eastAsia="宋体" w:cs="Times New Roman"/>
                <w:b w:val="0"/>
                <w:bCs w:val="0"/>
                <w:kern w:val="2"/>
                <w:sz w:val="24"/>
                <w:szCs w:val="24"/>
                <w:lang w:val="en-US" w:eastAsia="zh-CN" w:bidi="ar-SA"/>
              </w:rPr>
              <w:t>本项目使用的化学试剂部分具有挥发性，在实验过程中会有挥发性气体产生，主要包括非甲烷总烃、甲醇、氯化氢等。经过集气罩收集后，通过活性炭净化处理后由15m高排气筒排放。</w:t>
            </w:r>
          </w:p>
          <w:p w14:paraId="04D695E3">
            <w:pPr>
              <w:keepNext w:val="0"/>
              <w:keepLines w:val="0"/>
              <w:pageBreakBefore w:val="0"/>
              <w:widowControl w:val="0"/>
              <w:kinsoku/>
              <w:wordWrap/>
              <w:overflowPunct/>
              <w:topLinePunct w:val="0"/>
              <w:autoSpaceDE/>
              <w:autoSpaceDN/>
              <w:bidi w:val="0"/>
              <w:adjustRightInd/>
              <w:snapToGrid/>
              <w:spacing w:beforeLines="0" w:afterLines="0" w:line="360" w:lineRule="auto"/>
              <w:ind w:firstLine="480" w:firstLineChars="200"/>
              <w:jc w:val="both"/>
              <w:textAlignment w:val="auto"/>
              <w:rPr>
                <w:rFonts w:hint="eastAsia" w:ascii="Times New Roman" w:hAnsi="Times New Roman" w:eastAsia="宋体" w:cs="Times New Roman"/>
                <w:color w:val="auto"/>
                <w:kern w:val="0"/>
                <w:sz w:val="24"/>
                <w:szCs w:val="24"/>
                <w:highlight w:val="none"/>
                <w:lang w:val="en-US" w:eastAsia="zh-CN" w:bidi="ar"/>
              </w:rPr>
            </w:pPr>
            <w:r>
              <w:rPr>
                <w:sz w:val="24"/>
              </w:rPr>
              <mc:AlternateContent>
                <mc:Choice Requires="wps">
                  <w:drawing>
                    <wp:anchor distT="0" distB="0" distL="114300" distR="114300" simplePos="0" relativeHeight="251662336" behindDoc="0" locked="0" layoutInCell="1" allowOverlap="1">
                      <wp:simplePos x="0" y="0"/>
                      <wp:positionH relativeFrom="column">
                        <wp:posOffset>-7620</wp:posOffset>
                      </wp:positionH>
                      <wp:positionV relativeFrom="paragraph">
                        <wp:posOffset>63500</wp:posOffset>
                      </wp:positionV>
                      <wp:extent cx="5799455" cy="2249805"/>
                      <wp:effectExtent l="0" t="0" r="10795" b="17145"/>
                      <wp:wrapNone/>
                      <wp:docPr id="7" name="文本框 7"/>
                      <wp:cNvGraphicFramePr/>
                      <a:graphic xmlns:a="http://schemas.openxmlformats.org/drawingml/2006/main">
                        <a:graphicData uri="http://schemas.microsoft.com/office/word/2010/wordprocessingShape">
                          <wps:wsp>
                            <wps:cNvSpPr txBox="1"/>
                            <wps:spPr>
                              <a:xfrm>
                                <a:off x="881380" y="6809740"/>
                                <a:ext cx="5799455" cy="224980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753E5B1C">
                                  <w:pPr>
                                    <w:rPr>
                                      <w:rFonts w:hint="eastAsia" w:eastAsiaTheme="minorEastAsia"/>
                                      <w:lang w:val="en-US" w:eastAsia="zh-CN"/>
                                    </w:rPr>
                                  </w:pPr>
                                  <w:r>
                                    <w:drawing>
                                      <wp:inline distT="0" distB="0" distL="114300" distR="114300">
                                        <wp:extent cx="3095625" cy="1953260"/>
                                        <wp:effectExtent l="0" t="0" r="9525" b="889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7"/>
                                                <a:stretch>
                                                  <a:fillRect/>
                                                </a:stretch>
                                              </pic:blipFill>
                                              <pic:spPr>
                                                <a:xfrm>
                                                  <a:off x="0" y="0"/>
                                                  <a:ext cx="3095625" cy="195326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363470" cy="1943100"/>
                                        <wp:effectExtent l="0" t="0" r="17780" b="0"/>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18"/>
                                                <a:stretch>
                                                  <a:fillRect/>
                                                </a:stretch>
                                              </pic:blipFill>
                                              <pic:spPr>
                                                <a:xfrm>
                                                  <a:off x="0" y="0"/>
                                                  <a:ext cx="2363470" cy="19431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0.6pt;margin-top:5pt;height:177.15pt;width:456.65pt;z-index:251662336;mso-width-relative:page;mso-height-relative:page;" fillcolor="#FFFFFF [3201]" filled="t" stroked="f" coordsize="21600,21600" o:gfxdata="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lOABtQA&#10;AAAJAQAADwAAAAAAAAABACAAAAAiAAAAZHJzL2Rvd25yZXYueG1sUEsBAhQAFAAAAAgAh07iQPfn&#10;wJ5cAgAAmwQAAA4AAAAAAAAAAQAgAAAAIwEAAGRycy9lMm9Eb2MueG1sUEsFBgAAAAAGAAYAWQEA&#10;APEFAAAAAA==&#10;">
                      <v:fill on="t" focussize="0,0"/>
                      <v:stroke on="f" weight="0.5pt"/>
                      <v:imagedata o:title=""/>
                      <o:lock v:ext="edit" aspectratio="f"/>
                      <v:textbox>
                        <w:txbxContent>
                          <w:p w14:paraId="753E5B1C">
                            <w:pPr>
                              <w:rPr>
                                <w:rFonts w:hint="eastAsia" w:eastAsiaTheme="minorEastAsia"/>
                                <w:lang w:val="en-US" w:eastAsia="zh-CN"/>
                              </w:rPr>
                            </w:pPr>
                            <w:r>
                              <w:drawing>
                                <wp:inline distT="0" distB="0" distL="114300" distR="114300">
                                  <wp:extent cx="3095625" cy="1953260"/>
                                  <wp:effectExtent l="0" t="0" r="9525" b="889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7"/>
                                          <a:stretch>
                                            <a:fillRect/>
                                          </a:stretch>
                                        </pic:blipFill>
                                        <pic:spPr>
                                          <a:xfrm>
                                            <a:off x="0" y="0"/>
                                            <a:ext cx="3095625" cy="195326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363470" cy="1943100"/>
                                  <wp:effectExtent l="0" t="0" r="17780" b="0"/>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18"/>
                                          <a:stretch>
                                            <a:fillRect/>
                                          </a:stretch>
                                        </pic:blipFill>
                                        <pic:spPr>
                                          <a:xfrm>
                                            <a:off x="0" y="0"/>
                                            <a:ext cx="2363470" cy="1943100"/>
                                          </a:xfrm>
                                          <a:prstGeom prst="rect">
                                            <a:avLst/>
                                          </a:prstGeom>
                                          <a:noFill/>
                                          <a:ln>
                                            <a:noFill/>
                                          </a:ln>
                                        </pic:spPr>
                                      </pic:pic>
                                    </a:graphicData>
                                  </a:graphic>
                                </wp:inline>
                              </w:drawing>
                            </w:r>
                          </w:p>
                        </w:txbxContent>
                      </v:textbox>
                    </v:shape>
                  </w:pict>
                </mc:Fallback>
              </mc:AlternateContent>
            </w:r>
          </w:p>
          <w:p w14:paraId="66C40792">
            <w:pPr>
              <w:keepNext w:val="0"/>
              <w:keepLines w:val="0"/>
              <w:pageBreakBefore w:val="0"/>
              <w:widowControl w:val="0"/>
              <w:kinsoku/>
              <w:wordWrap/>
              <w:overflowPunct/>
              <w:topLinePunct w:val="0"/>
              <w:autoSpaceDE/>
              <w:autoSpaceDN/>
              <w:bidi w:val="0"/>
              <w:adjustRightInd/>
              <w:snapToGrid/>
              <w:spacing w:beforeLines="0" w:afterLines="0" w:line="360" w:lineRule="auto"/>
              <w:ind w:firstLine="480" w:firstLineChars="200"/>
              <w:jc w:val="both"/>
              <w:textAlignment w:val="auto"/>
              <w:rPr>
                <w:rFonts w:hint="eastAsia" w:ascii="Times New Roman" w:hAnsi="Times New Roman" w:eastAsia="宋体" w:cs="Times New Roman"/>
                <w:color w:val="auto"/>
                <w:kern w:val="0"/>
                <w:sz w:val="24"/>
                <w:szCs w:val="24"/>
                <w:highlight w:val="none"/>
                <w:lang w:val="en-US" w:eastAsia="zh-CN" w:bidi="ar"/>
              </w:rPr>
            </w:pPr>
          </w:p>
          <w:p w14:paraId="72EED254">
            <w:pPr>
              <w:keepNext w:val="0"/>
              <w:keepLines w:val="0"/>
              <w:pageBreakBefore w:val="0"/>
              <w:widowControl w:val="0"/>
              <w:kinsoku/>
              <w:wordWrap/>
              <w:overflowPunct/>
              <w:topLinePunct w:val="0"/>
              <w:autoSpaceDE/>
              <w:autoSpaceDN/>
              <w:bidi w:val="0"/>
              <w:adjustRightInd/>
              <w:snapToGrid/>
              <w:spacing w:beforeLines="0" w:afterLines="0" w:line="360" w:lineRule="auto"/>
              <w:ind w:firstLine="480" w:firstLineChars="200"/>
              <w:jc w:val="both"/>
              <w:textAlignment w:val="auto"/>
              <w:rPr>
                <w:rFonts w:hint="eastAsia" w:ascii="Times New Roman" w:hAnsi="Times New Roman" w:eastAsia="宋体" w:cs="Times New Roman"/>
                <w:color w:val="auto"/>
                <w:kern w:val="0"/>
                <w:sz w:val="24"/>
                <w:szCs w:val="24"/>
                <w:highlight w:val="none"/>
                <w:lang w:val="en-US" w:eastAsia="zh-CN" w:bidi="ar"/>
              </w:rPr>
            </w:pPr>
          </w:p>
          <w:p w14:paraId="41066184">
            <w:pPr>
              <w:keepNext w:val="0"/>
              <w:keepLines w:val="0"/>
              <w:pageBreakBefore w:val="0"/>
              <w:widowControl w:val="0"/>
              <w:kinsoku/>
              <w:wordWrap/>
              <w:overflowPunct/>
              <w:topLinePunct w:val="0"/>
              <w:autoSpaceDE/>
              <w:autoSpaceDN/>
              <w:bidi w:val="0"/>
              <w:adjustRightInd/>
              <w:snapToGrid/>
              <w:spacing w:beforeLines="0" w:afterLines="0" w:line="360" w:lineRule="auto"/>
              <w:ind w:firstLine="480" w:firstLineChars="200"/>
              <w:jc w:val="both"/>
              <w:textAlignment w:val="auto"/>
              <w:rPr>
                <w:rFonts w:hint="eastAsia" w:ascii="Times New Roman" w:hAnsi="Times New Roman" w:eastAsia="宋体" w:cs="Times New Roman"/>
                <w:color w:val="auto"/>
                <w:kern w:val="0"/>
                <w:sz w:val="24"/>
                <w:szCs w:val="24"/>
                <w:highlight w:val="none"/>
                <w:lang w:val="en-US" w:eastAsia="zh-CN" w:bidi="ar"/>
              </w:rPr>
            </w:pPr>
          </w:p>
          <w:p w14:paraId="5D0DE172">
            <w:pPr>
              <w:keepNext w:val="0"/>
              <w:keepLines w:val="0"/>
              <w:pageBreakBefore w:val="0"/>
              <w:widowControl w:val="0"/>
              <w:kinsoku/>
              <w:wordWrap/>
              <w:overflowPunct/>
              <w:topLinePunct w:val="0"/>
              <w:autoSpaceDE/>
              <w:autoSpaceDN/>
              <w:bidi w:val="0"/>
              <w:adjustRightInd/>
              <w:snapToGrid/>
              <w:spacing w:beforeLines="0" w:afterLines="0" w:line="360" w:lineRule="auto"/>
              <w:ind w:firstLine="480" w:firstLineChars="200"/>
              <w:jc w:val="both"/>
              <w:textAlignment w:val="auto"/>
              <w:rPr>
                <w:rFonts w:hint="eastAsia" w:ascii="Times New Roman" w:hAnsi="Times New Roman" w:eastAsia="宋体" w:cs="Times New Roman"/>
                <w:color w:val="auto"/>
                <w:kern w:val="0"/>
                <w:sz w:val="24"/>
                <w:szCs w:val="24"/>
                <w:highlight w:val="none"/>
                <w:lang w:val="en-US" w:eastAsia="zh-CN" w:bidi="ar"/>
              </w:rPr>
            </w:pPr>
          </w:p>
          <w:p w14:paraId="2E2387EE">
            <w:pPr>
              <w:keepNext w:val="0"/>
              <w:keepLines w:val="0"/>
              <w:pageBreakBefore w:val="0"/>
              <w:widowControl w:val="0"/>
              <w:kinsoku/>
              <w:wordWrap/>
              <w:overflowPunct/>
              <w:topLinePunct w:val="0"/>
              <w:autoSpaceDE/>
              <w:autoSpaceDN/>
              <w:bidi w:val="0"/>
              <w:adjustRightInd/>
              <w:snapToGrid/>
              <w:spacing w:beforeLines="0" w:afterLines="0" w:line="360" w:lineRule="auto"/>
              <w:ind w:firstLine="480" w:firstLineChars="200"/>
              <w:jc w:val="both"/>
              <w:textAlignment w:val="auto"/>
              <w:rPr>
                <w:rFonts w:hint="eastAsia" w:ascii="Times New Roman" w:hAnsi="Times New Roman" w:eastAsia="宋体" w:cs="Times New Roman"/>
                <w:color w:val="auto"/>
                <w:kern w:val="0"/>
                <w:sz w:val="24"/>
                <w:szCs w:val="24"/>
                <w:highlight w:val="none"/>
                <w:lang w:val="en-US" w:eastAsia="zh-CN" w:bidi="ar"/>
              </w:rPr>
            </w:pPr>
          </w:p>
          <w:p w14:paraId="5870C2E7">
            <w:pPr>
              <w:keepNext w:val="0"/>
              <w:keepLines w:val="0"/>
              <w:pageBreakBefore w:val="0"/>
              <w:widowControl w:val="0"/>
              <w:kinsoku/>
              <w:wordWrap/>
              <w:overflowPunct/>
              <w:topLinePunct w:val="0"/>
              <w:autoSpaceDE/>
              <w:autoSpaceDN/>
              <w:bidi w:val="0"/>
              <w:adjustRightInd/>
              <w:snapToGrid/>
              <w:spacing w:beforeLines="0" w:afterLines="0" w:line="360" w:lineRule="auto"/>
              <w:ind w:firstLine="480" w:firstLineChars="200"/>
              <w:jc w:val="both"/>
              <w:textAlignment w:val="auto"/>
              <w:rPr>
                <w:rFonts w:hint="eastAsia" w:ascii="Times New Roman" w:hAnsi="Times New Roman" w:eastAsia="宋体" w:cs="Times New Roman"/>
                <w:color w:val="auto"/>
                <w:kern w:val="0"/>
                <w:sz w:val="24"/>
                <w:szCs w:val="24"/>
                <w:highlight w:val="none"/>
                <w:lang w:val="en-US" w:eastAsia="zh-CN" w:bidi="ar"/>
              </w:rPr>
            </w:pPr>
          </w:p>
          <w:p w14:paraId="2C428807">
            <w:pPr>
              <w:keepNext w:val="0"/>
              <w:keepLines w:val="0"/>
              <w:pageBreakBefore w:val="0"/>
              <w:widowControl w:val="0"/>
              <w:kinsoku/>
              <w:wordWrap/>
              <w:overflowPunct/>
              <w:topLinePunct w:val="0"/>
              <w:autoSpaceDE/>
              <w:autoSpaceDN/>
              <w:bidi w:val="0"/>
              <w:adjustRightInd/>
              <w:snapToGrid/>
              <w:spacing w:beforeLines="0" w:afterLines="0" w:line="360" w:lineRule="auto"/>
              <w:ind w:firstLine="480" w:firstLineChars="200"/>
              <w:jc w:val="both"/>
              <w:textAlignment w:val="auto"/>
              <w:rPr>
                <w:rFonts w:hint="eastAsia" w:ascii="Times New Roman" w:hAnsi="Times New Roman" w:eastAsia="宋体" w:cs="Times New Roman"/>
                <w:color w:val="auto"/>
                <w:kern w:val="0"/>
                <w:sz w:val="24"/>
                <w:szCs w:val="24"/>
                <w:highlight w:val="none"/>
                <w:lang w:val="en-US" w:eastAsia="zh-CN" w:bidi="ar"/>
              </w:rPr>
            </w:pPr>
          </w:p>
          <w:p w14:paraId="040595C8">
            <w:pPr>
              <w:keepNext w:val="0"/>
              <w:keepLines w:val="0"/>
              <w:pageBreakBefore w:val="0"/>
              <w:widowControl w:val="0"/>
              <w:kinsoku/>
              <w:wordWrap/>
              <w:overflowPunct/>
              <w:topLinePunct w:val="0"/>
              <w:autoSpaceDE/>
              <w:autoSpaceDN/>
              <w:bidi w:val="0"/>
              <w:adjustRightInd/>
              <w:snapToGrid/>
              <w:spacing w:beforeLines="0" w:afterLines="0" w:line="360" w:lineRule="auto"/>
              <w:ind w:firstLine="480" w:firstLineChars="200"/>
              <w:jc w:val="both"/>
              <w:textAlignment w:val="auto"/>
              <w:rPr>
                <w:rFonts w:hint="eastAsia" w:ascii="Times New Roman" w:hAnsi="Times New Roman" w:eastAsia="宋体" w:cs="Times New Roman"/>
                <w:color w:val="auto"/>
                <w:kern w:val="0"/>
                <w:sz w:val="24"/>
                <w:szCs w:val="24"/>
                <w:highlight w:val="none"/>
                <w:lang w:val="en-US" w:eastAsia="zh-CN" w:bidi="ar"/>
              </w:rPr>
            </w:pPr>
          </w:p>
          <w:p w14:paraId="2D915EBF">
            <w:pPr>
              <w:keepNext w:val="0"/>
              <w:keepLines w:val="0"/>
              <w:pageBreakBefore w:val="0"/>
              <w:kinsoku/>
              <w:wordWrap/>
              <w:overflowPunct/>
              <w:topLinePunct w:val="0"/>
              <w:autoSpaceDE/>
              <w:autoSpaceDN/>
              <w:bidi w:val="0"/>
              <w:snapToGrid w:val="0"/>
              <w:spacing w:line="360" w:lineRule="auto"/>
              <w:jc w:val="center"/>
              <w:textAlignment w:val="auto"/>
              <w:rPr>
                <w:rFonts w:hint="eastAsia" w:ascii="Times New Roman" w:hAnsi="Times New Roman" w:cs="Times New Roman"/>
                <w:b/>
                <w:bCs/>
                <w:color w:val="auto"/>
                <w:sz w:val="24"/>
                <w:szCs w:val="24"/>
                <w:highlight w:val="none"/>
                <w:lang w:val="en-US" w:eastAsia="zh-CN"/>
              </w:rPr>
            </w:pPr>
            <w:r>
              <w:rPr>
                <w:rFonts w:hint="eastAsia" w:ascii="Times New Roman" w:hAnsi="Times New Roman" w:cs="Times New Roman"/>
                <w:b/>
                <w:bCs/>
                <w:color w:val="auto"/>
                <w:sz w:val="24"/>
                <w:szCs w:val="24"/>
                <w:highlight w:val="yellow"/>
                <w:lang w:val="en-US" w:eastAsia="zh-CN"/>
              </w:rPr>
              <w:t>图3-2 废气排放口</w:t>
            </w:r>
          </w:p>
          <w:p w14:paraId="3625981F">
            <w:pPr>
              <w:keepNext w:val="0"/>
              <w:keepLines w:val="0"/>
              <w:pageBreakBefore w:val="0"/>
              <w:kinsoku/>
              <w:wordWrap/>
              <w:overflowPunct/>
              <w:topLinePunct w:val="0"/>
              <w:autoSpaceDE/>
              <w:autoSpaceDN/>
              <w:bidi w:val="0"/>
              <w:snapToGrid w:val="0"/>
              <w:spacing w:line="360" w:lineRule="auto"/>
              <w:textAlignment w:val="auto"/>
              <w:rPr>
                <w:rFonts w:hint="default" w:ascii="Times New Roman" w:hAnsi="Times New Roman" w:cs="Times New Roman"/>
                <w:b/>
                <w:bCs/>
                <w:color w:val="auto"/>
                <w:sz w:val="24"/>
                <w:szCs w:val="24"/>
                <w:highlight w:val="none"/>
              </w:rPr>
            </w:pPr>
            <w:r>
              <w:rPr>
                <w:rFonts w:hint="eastAsia" w:ascii="Times New Roman" w:hAnsi="Times New Roman" w:cs="Times New Roman"/>
                <w:b/>
                <w:bCs/>
                <w:color w:val="auto"/>
                <w:sz w:val="24"/>
                <w:szCs w:val="24"/>
                <w:highlight w:val="none"/>
                <w:lang w:val="en-US" w:eastAsia="zh-CN"/>
              </w:rPr>
              <w:t>三、</w:t>
            </w:r>
            <w:r>
              <w:rPr>
                <w:rFonts w:hint="default" w:ascii="Times New Roman" w:hAnsi="Times New Roman" w:cs="Times New Roman"/>
                <w:b/>
                <w:bCs/>
                <w:color w:val="auto"/>
                <w:sz w:val="24"/>
                <w:szCs w:val="24"/>
                <w:highlight w:val="none"/>
              </w:rPr>
              <w:t>噪声</w:t>
            </w:r>
          </w:p>
          <w:p w14:paraId="7A0DE3A2">
            <w:pPr>
              <w:keepNext w:val="0"/>
              <w:keepLines w:val="0"/>
              <w:pageBreakBefore w:val="0"/>
              <w:widowControl w:val="0"/>
              <w:kinsoku/>
              <w:wordWrap/>
              <w:overflowPunct/>
              <w:topLinePunct w:val="0"/>
              <w:autoSpaceDE/>
              <w:autoSpaceDN/>
              <w:bidi w:val="0"/>
              <w:adjustRightInd/>
              <w:snapToGrid/>
              <w:spacing w:beforeLines="0" w:afterLines="0" w:line="360" w:lineRule="auto"/>
              <w:ind w:firstLine="480" w:firstLineChars="200"/>
              <w:jc w:val="both"/>
              <w:textAlignment w:val="auto"/>
              <w:rPr>
                <w:rFonts w:hint="eastAsia" w:ascii="Times New Roman" w:hAnsi="Times New Roman" w:eastAsia="宋体" w:cs="Times New Roman"/>
                <w:color w:val="auto"/>
                <w:kern w:val="0"/>
                <w:sz w:val="24"/>
                <w:szCs w:val="24"/>
                <w:highlight w:val="none"/>
                <w:lang w:val="en-US" w:eastAsia="zh-CN" w:bidi="ar"/>
              </w:rPr>
            </w:pPr>
            <w:r>
              <w:rPr>
                <w:rFonts w:hint="default" w:ascii="Times New Roman" w:hAnsi="Times New Roman" w:eastAsia="宋体" w:cs="Times New Roman"/>
                <w:color w:val="auto"/>
                <w:kern w:val="0"/>
                <w:sz w:val="24"/>
                <w:szCs w:val="24"/>
                <w:highlight w:val="none"/>
                <w:lang w:val="en-US" w:eastAsia="zh-CN" w:bidi="ar"/>
              </w:rPr>
              <w:t>本项目主要噪声源为空压机、空调外机、离心机、风机等设备运行时的噪声。</w:t>
            </w:r>
            <w:r>
              <w:rPr>
                <w:rFonts w:hint="eastAsia" w:ascii="Times New Roman" w:hAnsi="Times New Roman" w:eastAsia="宋体" w:cs="Times New Roman"/>
                <w:color w:val="auto"/>
                <w:kern w:val="0"/>
                <w:sz w:val="24"/>
                <w:szCs w:val="24"/>
                <w:highlight w:val="none"/>
                <w:lang w:val="en-US" w:eastAsia="zh-CN" w:bidi="ar"/>
              </w:rPr>
              <w:t>本</w:t>
            </w:r>
            <w:r>
              <w:rPr>
                <w:rFonts w:hint="default" w:ascii="Times New Roman" w:hAnsi="Times New Roman" w:eastAsia="宋体" w:cs="Times New Roman"/>
                <w:color w:val="auto"/>
                <w:kern w:val="0"/>
                <w:sz w:val="24"/>
                <w:szCs w:val="24"/>
                <w:highlight w:val="none"/>
                <w:lang w:val="en-US" w:eastAsia="zh-CN" w:bidi="ar"/>
              </w:rPr>
              <w:t>项目夜间不生产，项目室内设备选取低噪声设备，</w:t>
            </w:r>
            <w:r>
              <w:rPr>
                <w:rFonts w:hint="eastAsia" w:ascii="Times New Roman" w:hAnsi="Times New Roman" w:eastAsia="宋体" w:cs="Times New Roman"/>
                <w:color w:val="auto"/>
                <w:kern w:val="0"/>
                <w:sz w:val="24"/>
                <w:szCs w:val="24"/>
                <w:highlight w:val="none"/>
                <w:lang w:val="en-US" w:eastAsia="zh-CN" w:bidi="ar"/>
              </w:rPr>
              <w:t>针对主要产噪设备采取隔声、基础减震等降噪措施后对厂界影响较小。</w:t>
            </w:r>
            <w:r>
              <w:rPr>
                <w:rFonts w:hint="default" w:ascii="Times New Roman" w:hAnsi="Times New Roman" w:cs="Times New Roman"/>
                <w:color w:val="auto"/>
                <w:kern w:val="2"/>
                <w:sz w:val="24"/>
                <w:szCs w:val="24"/>
                <w:highlight w:val="none"/>
                <w:lang w:val="en-US" w:eastAsia="zh-CN" w:bidi="ar-SA"/>
              </w:rPr>
              <w:t>主要</w:t>
            </w:r>
            <w:r>
              <w:rPr>
                <w:rFonts w:hint="default" w:ascii="Times New Roman" w:hAnsi="Times New Roman" w:eastAsia="宋体" w:cs="Times New Roman"/>
                <w:color w:val="auto"/>
                <w:kern w:val="2"/>
                <w:sz w:val="24"/>
                <w:szCs w:val="24"/>
                <w:highlight w:val="none"/>
                <w:lang w:val="en-US" w:eastAsia="zh-CN" w:bidi="ar-SA"/>
              </w:rPr>
              <w:t>设备数量、噪声源强及治理措施见下</w:t>
            </w:r>
            <w:r>
              <w:rPr>
                <w:rFonts w:hint="default" w:ascii="Times New Roman" w:hAnsi="Times New Roman" w:eastAsia="宋体" w:cs="Times New Roman"/>
                <w:color w:val="auto"/>
                <w:kern w:val="0"/>
                <w:sz w:val="24"/>
                <w:szCs w:val="24"/>
                <w:highlight w:val="none"/>
                <w:lang w:val="en-US" w:eastAsia="zh-CN" w:bidi="ar"/>
              </w:rPr>
              <w:t>表。</w:t>
            </w:r>
          </w:p>
          <w:p w14:paraId="560F35F2">
            <w:pPr>
              <w:pStyle w:val="24"/>
              <w:keepNext w:val="0"/>
              <w:keepLines w:val="0"/>
              <w:pageBreakBefore w:val="0"/>
              <w:widowControl/>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bCs/>
                <w:color w:val="auto"/>
                <w:kern w:val="2"/>
                <w:sz w:val="24"/>
                <w:szCs w:val="24"/>
                <w:highlight w:val="none"/>
                <w:lang w:val="en-US" w:eastAsia="zh-CN" w:bidi="ar-SA"/>
              </w:rPr>
            </w:pPr>
            <w:r>
              <w:rPr>
                <w:rFonts w:hint="default" w:ascii="Times New Roman" w:hAnsi="Times New Roman" w:eastAsia="宋体" w:cs="Times New Roman"/>
                <w:b/>
                <w:bCs/>
                <w:color w:val="auto"/>
                <w:kern w:val="2"/>
                <w:sz w:val="24"/>
                <w:szCs w:val="24"/>
                <w:highlight w:val="none"/>
                <w:lang w:val="en-US" w:eastAsia="zh-CN" w:bidi="ar-SA"/>
              </w:rPr>
              <w:t>表</w:t>
            </w:r>
            <w:r>
              <w:rPr>
                <w:rFonts w:hint="eastAsia" w:ascii="Times New Roman" w:hAnsi="Times New Roman" w:cs="Times New Roman"/>
                <w:b/>
                <w:bCs/>
                <w:color w:val="auto"/>
                <w:kern w:val="2"/>
                <w:sz w:val="24"/>
                <w:szCs w:val="24"/>
                <w:highlight w:val="none"/>
                <w:lang w:val="en-US" w:eastAsia="zh-CN" w:bidi="ar-SA"/>
              </w:rPr>
              <w:t xml:space="preserve">3-1 </w:t>
            </w:r>
            <w:r>
              <w:rPr>
                <w:rFonts w:hint="default" w:ascii="Times New Roman" w:hAnsi="Times New Roman" w:cs="Times New Roman"/>
                <w:b/>
                <w:bCs/>
                <w:color w:val="auto"/>
                <w:kern w:val="2"/>
                <w:sz w:val="24"/>
                <w:szCs w:val="24"/>
                <w:highlight w:val="none"/>
                <w:lang w:val="en-US" w:eastAsia="zh-CN" w:bidi="ar-SA"/>
              </w:rPr>
              <w:t>主要</w:t>
            </w:r>
            <w:r>
              <w:rPr>
                <w:rFonts w:hint="default" w:ascii="Times New Roman" w:hAnsi="Times New Roman" w:eastAsia="宋体" w:cs="Times New Roman"/>
                <w:b/>
                <w:bCs/>
                <w:color w:val="auto"/>
                <w:kern w:val="2"/>
                <w:sz w:val="24"/>
                <w:szCs w:val="24"/>
                <w:highlight w:val="none"/>
                <w:lang w:val="en-US" w:eastAsia="zh-CN" w:bidi="ar-SA"/>
              </w:rPr>
              <w:t>设备数量、噪声源强及治理措施一览表</w:t>
            </w:r>
          </w:p>
          <w:tbl>
            <w:tblPr>
              <w:tblStyle w:val="29"/>
              <w:tblW w:w="48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706"/>
              <w:gridCol w:w="1186"/>
              <w:gridCol w:w="1616"/>
              <w:gridCol w:w="866"/>
              <w:gridCol w:w="1705"/>
              <w:gridCol w:w="2807"/>
            </w:tblGrid>
            <w:tr w14:paraId="38F91B1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397" w:type="pct"/>
                  <w:tcBorders>
                    <w:tl2br w:val="nil"/>
                    <w:tr2bl w:val="nil"/>
                  </w:tcBorders>
                  <w:noWrap w:val="0"/>
                  <w:vAlign w:val="center"/>
                </w:tcPr>
                <w:p w14:paraId="4B610E4C">
                  <w:pPr>
                    <w:autoSpaceDE w:val="0"/>
                    <w:autoSpaceDN w:val="0"/>
                    <w:adjustRightInd w:val="0"/>
                    <w:snapToGrid w:val="0"/>
                    <w:jc w:val="center"/>
                    <w:rPr>
                      <w:rFonts w:hint="default" w:ascii="Times New Roman" w:hAnsi="Times New Roman" w:eastAsia="宋体" w:cs="Times New Roman"/>
                      <w:b/>
                      <w:bCs/>
                      <w:smallCaps w:val="0"/>
                      <w:color w:val="auto"/>
                      <w:sz w:val="21"/>
                      <w:szCs w:val="21"/>
                      <w:highlight w:val="none"/>
                    </w:rPr>
                  </w:pPr>
                  <w:r>
                    <w:rPr>
                      <w:rFonts w:hint="default" w:ascii="Times New Roman" w:hAnsi="Times New Roman" w:eastAsia="宋体" w:cs="Times New Roman"/>
                      <w:b/>
                      <w:bCs/>
                      <w:smallCaps w:val="0"/>
                      <w:color w:val="auto"/>
                      <w:sz w:val="21"/>
                      <w:szCs w:val="21"/>
                      <w:highlight w:val="none"/>
                    </w:rPr>
                    <w:t>序号</w:t>
                  </w:r>
                </w:p>
              </w:tc>
              <w:tc>
                <w:tcPr>
                  <w:tcW w:w="667" w:type="pct"/>
                  <w:tcBorders>
                    <w:tl2br w:val="nil"/>
                    <w:tr2bl w:val="nil"/>
                  </w:tcBorders>
                  <w:noWrap w:val="0"/>
                  <w:vAlign w:val="center"/>
                </w:tcPr>
                <w:p w14:paraId="0A655629">
                  <w:pPr>
                    <w:autoSpaceDE w:val="0"/>
                    <w:autoSpaceDN w:val="0"/>
                    <w:adjustRightInd w:val="0"/>
                    <w:snapToGrid w:val="0"/>
                    <w:jc w:val="center"/>
                    <w:rPr>
                      <w:rFonts w:hint="eastAsia" w:ascii="Times New Roman" w:hAnsi="Times New Roman" w:eastAsia="宋体" w:cs="Times New Roman"/>
                      <w:b/>
                      <w:bCs/>
                      <w:smallCaps w:val="0"/>
                      <w:color w:val="auto"/>
                      <w:sz w:val="21"/>
                      <w:szCs w:val="21"/>
                      <w:highlight w:val="none"/>
                      <w:lang w:val="en-US" w:eastAsia="zh-CN"/>
                    </w:rPr>
                  </w:pPr>
                  <w:r>
                    <w:rPr>
                      <w:rFonts w:hint="eastAsia" w:ascii="Times New Roman" w:hAnsi="Times New Roman" w:eastAsia="宋体" w:cs="Times New Roman"/>
                      <w:b/>
                      <w:bCs/>
                      <w:smallCaps w:val="0"/>
                      <w:color w:val="auto"/>
                      <w:sz w:val="21"/>
                      <w:szCs w:val="21"/>
                      <w:highlight w:val="none"/>
                      <w:lang w:val="en-US" w:eastAsia="zh-CN"/>
                    </w:rPr>
                    <w:t>声源位置</w:t>
                  </w:r>
                </w:p>
              </w:tc>
              <w:tc>
                <w:tcPr>
                  <w:tcW w:w="909" w:type="pct"/>
                  <w:tcBorders>
                    <w:tl2br w:val="nil"/>
                    <w:tr2bl w:val="nil"/>
                  </w:tcBorders>
                  <w:noWrap w:val="0"/>
                  <w:vAlign w:val="center"/>
                </w:tcPr>
                <w:p w14:paraId="5951D21D">
                  <w:pPr>
                    <w:autoSpaceDE w:val="0"/>
                    <w:autoSpaceDN w:val="0"/>
                    <w:adjustRightInd w:val="0"/>
                    <w:snapToGrid w:val="0"/>
                    <w:jc w:val="center"/>
                    <w:rPr>
                      <w:rFonts w:hint="default" w:ascii="Times New Roman" w:hAnsi="Times New Roman" w:eastAsia="宋体" w:cs="Times New Roman"/>
                      <w:b/>
                      <w:bCs/>
                      <w:smallCaps w:val="0"/>
                      <w:color w:val="auto"/>
                      <w:sz w:val="21"/>
                      <w:szCs w:val="21"/>
                      <w:highlight w:val="none"/>
                    </w:rPr>
                  </w:pPr>
                  <w:r>
                    <w:rPr>
                      <w:rFonts w:hint="default" w:ascii="Times New Roman" w:hAnsi="Times New Roman" w:eastAsia="宋体" w:cs="Times New Roman"/>
                      <w:b/>
                      <w:bCs/>
                      <w:smallCaps w:val="0"/>
                      <w:color w:val="auto"/>
                      <w:sz w:val="21"/>
                      <w:szCs w:val="21"/>
                      <w:highlight w:val="none"/>
                    </w:rPr>
                    <w:t>设备名称</w:t>
                  </w:r>
                </w:p>
              </w:tc>
              <w:tc>
                <w:tcPr>
                  <w:tcW w:w="487" w:type="pct"/>
                  <w:tcBorders>
                    <w:tl2br w:val="nil"/>
                    <w:tr2bl w:val="nil"/>
                  </w:tcBorders>
                  <w:noWrap w:val="0"/>
                  <w:vAlign w:val="center"/>
                </w:tcPr>
                <w:p w14:paraId="1281B761">
                  <w:pPr>
                    <w:autoSpaceDE w:val="0"/>
                    <w:autoSpaceDN w:val="0"/>
                    <w:adjustRightInd w:val="0"/>
                    <w:snapToGrid w:val="0"/>
                    <w:jc w:val="center"/>
                    <w:rPr>
                      <w:rFonts w:hint="default" w:ascii="Times New Roman" w:hAnsi="Times New Roman" w:eastAsia="宋体" w:cs="Times New Roman"/>
                      <w:b/>
                      <w:bCs/>
                      <w:smallCaps w:val="0"/>
                      <w:color w:val="auto"/>
                      <w:sz w:val="21"/>
                      <w:szCs w:val="21"/>
                      <w:highlight w:val="none"/>
                      <w:lang w:eastAsia="zh-CN"/>
                    </w:rPr>
                  </w:pPr>
                  <w:r>
                    <w:rPr>
                      <w:rFonts w:hint="default" w:ascii="Times New Roman" w:hAnsi="Times New Roman" w:eastAsia="宋体" w:cs="Times New Roman"/>
                      <w:b/>
                      <w:bCs/>
                      <w:smallCaps w:val="0"/>
                      <w:color w:val="auto"/>
                      <w:sz w:val="21"/>
                      <w:szCs w:val="21"/>
                      <w:highlight w:val="none"/>
                    </w:rPr>
                    <w:t>数量</w:t>
                  </w:r>
                </w:p>
              </w:tc>
              <w:tc>
                <w:tcPr>
                  <w:tcW w:w="959" w:type="pct"/>
                  <w:tcBorders>
                    <w:tl2br w:val="nil"/>
                    <w:tr2bl w:val="nil"/>
                  </w:tcBorders>
                  <w:noWrap w:val="0"/>
                  <w:vAlign w:val="center"/>
                </w:tcPr>
                <w:p w14:paraId="321E2462">
                  <w:pPr>
                    <w:autoSpaceDE w:val="0"/>
                    <w:autoSpaceDN w:val="0"/>
                    <w:adjustRightInd w:val="0"/>
                    <w:snapToGrid w:val="0"/>
                    <w:jc w:val="center"/>
                    <w:rPr>
                      <w:rFonts w:hint="default" w:ascii="Times New Roman" w:hAnsi="Times New Roman" w:eastAsia="宋体" w:cs="Times New Roman"/>
                      <w:b/>
                      <w:bCs/>
                      <w:smallCaps w:val="0"/>
                      <w:color w:val="auto"/>
                      <w:sz w:val="21"/>
                      <w:szCs w:val="21"/>
                      <w:highlight w:val="none"/>
                    </w:rPr>
                  </w:pPr>
                  <w:r>
                    <w:rPr>
                      <w:rFonts w:hint="default" w:ascii="Times New Roman" w:hAnsi="Times New Roman" w:eastAsia="宋体" w:cs="Times New Roman"/>
                      <w:b/>
                      <w:bCs/>
                      <w:smallCaps w:val="0"/>
                      <w:color w:val="auto"/>
                      <w:sz w:val="21"/>
                      <w:szCs w:val="21"/>
                      <w:highlight w:val="none"/>
                      <w:lang w:eastAsia="zh-CN"/>
                    </w:rPr>
                    <w:t>噪声源强</w:t>
                  </w:r>
                  <w:r>
                    <w:rPr>
                      <w:rFonts w:hint="default" w:ascii="Times New Roman" w:hAnsi="Times New Roman" w:eastAsia="宋体" w:cs="Times New Roman"/>
                      <w:b/>
                      <w:bCs/>
                      <w:smallCaps w:val="0"/>
                      <w:color w:val="auto"/>
                      <w:sz w:val="21"/>
                      <w:szCs w:val="21"/>
                      <w:highlight w:val="none"/>
                    </w:rPr>
                    <w:t>dB（A）</w:t>
                  </w:r>
                </w:p>
              </w:tc>
              <w:tc>
                <w:tcPr>
                  <w:tcW w:w="1578" w:type="pct"/>
                  <w:tcBorders>
                    <w:tl2br w:val="nil"/>
                    <w:tr2bl w:val="nil"/>
                  </w:tcBorders>
                  <w:noWrap w:val="0"/>
                  <w:vAlign w:val="center"/>
                </w:tcPr>
                <w:p w14:paraId="7D7B7E65">
                  <w:pPr>
                    <w:autoSpaceDE w:val="0"/>
                    <w:autoSpaceDN w:val="0"/>
                    <w:adjustRightInd w:val="0"/>
                    <w:snapToGrid w:val="0"/>
                    <w:jc w:val="center"/>
                    <w:rPr>
                      <w:rFonts w:hint="default" w:ascii="Times New Roman" w:hAnsi="Times New Roman" w:eastAsia="宋体" w:cs="Times New Roman"/>
                      <w:b/>
                      <w:bCs/>
                      <w:smallCaps w:val="0"/>
                      <w:color w:val="auto"/>
                      <w:sz w:val="21"/>
                      <w:szCs w:val="21"/>
                      <w:highlight w:val="none"/>
                    </w:rPr>
                  </w:pPr>
                  <w:r>
                    <w:rPr>
                      <w:rFonts w:hint="default" w:ascii="Times New Roman" w:hAnsi="Times New Roman" w:eastAsia="宋体" w:cs="Times New Roman"/>
                      <w:b/>
                      <w:bCs/>
                      <w:smallCaps w:val="0"/>
                      <w:color w:val="auto"/>
                      <w:sz w:val="21"/>
                      <w:szCs w:val="21"/>
                      <w:highlight w:val="none"/>
                      <w:lang w:eastAsia="zh-CN"/>
                    </w:rPr>
                    <w:t>治理</w:t>
                  </w:r>
                  <w:r>
                    <w:rPr>
                      <w:rFonts w:hint="default" w:ascii="Times New Roman" w:hAnsi="Times New Roman" w:eastAsia="宋体" w:cs="Times New Roman"/>
                      <w:b/>
                      <w:bCs/>
                      <w:smallCaps w:val="0"/>
                      <w:color w:val="auto"/>
                      <w:sz w:val="21"/>
                      <w:szCs w:val="21"/>
                      <w:highlight w:val="none"/>
                    </w:rPr>
                    <w:t>措施</w:t>
                  </w:r>
                </w:p>
              </w:tc>
            </w:tr>
            <w:tr w14:paraId="45B0A9D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397" w:type="pct"/>
                  <w:tcBorders>
                    <w:tl2br w:val="nil"/>
                    <w:tr2bl w:val="nil"/>
                  </w:tcBorders>
                  <w:noWrap w:val="0"/>
                  <w:vAlign w:val="center"/>
                </w:tcPr>
                <w:p w14:paraId="40C79A52">
                  <w:pPr>
                    <w:autoSpaceDE w:val="0"/>
                    <w:autoSpaceDN w:val="0"/>
                    <w:adjustRightInd w:val="0"/>
                    <w:snapToGrid w:val="0"/>
                    <w:jc w:val="center"/>
                    <w:rPr>
                      <w:rFonts w:hint="default" w:ascii="Times New Roman" w:hAnsi="Times New Roman" w:eastAsia="宋体" w:cs="Times New Roman"/>
                      <w:smallCaps w:val="0"/>
                      <w:color w:val="auto"/>
                      <w:sz w:val="21"/>
                      <w:szCs w:val="21"/>
                      <w:highlight w:val="none"/>
                    </w:rPr>
                  </w:pPr>
                  <w:r>
                    <w:rPr>
                      <w:rFonts w:hint="default" w:ascii="Times New Roman" w:hAnsi="Times New Roman" w:eastAsia="宋体" w:cs="Times New Roman"/>
                      <w:smallCaps w:val="0"/>
                      <w:color w:val="auto"/>
                      <w:sz w:val="21"/>
                      <w:szCs w:val="21"/>
                      <w:highlight w:val="none"/>
                    </w:rPr>
                    <w:t>1</w:t>
                  </w:r>
                </w:p>
              </w:tc>
              <w:tc>
                <w:tcPr>
                  <w:tcW w:w="667" w:type="pct"/>
                  <w:vMerge w:val="restart"/>
                  <w:tcBorders>
                    <w:tl2br w:val="nil"/>
                    <w:tr2bl w:val="nil"/>
                  </w:tcBorders>
                  <w:shd w:val="clear" w:color="auto" w:fill="auto"/>
                  <w:noWrap w:val="0"/>
                  <w:vAlign w:val="center"/>
                </w:tcPr>
                <w:p w14:paraId="1D45ED0B">
                  <w:pPr>
                    <w:autoSpaceDE w:val="0"/>
                    <w:autoSpaceDN w:val="0"/>
                    <w:adjustRightInd w:val="0"/>
                    <w:snapToGrid w:val="0"/>
                    <w:jc w:val="center"/>
                    <w:rPr>
                      <w:rFonts w:hint="eastAsia"/>
                      <w:color w:val="000000"/>
                      <w:sz w:val="18"/>
                      <w:szCs w:val="18"/>
                      <w:highlight w:val="none"/>
                    </w:rPr>
                  </w:pPr>
                  <w:r>
                    <w:rPr>
                      <w:sz w:val="21"/>
                      <w:highlight w:val="none"/>
                    </w:rPr>
                    <w:t>实验室内</w:t>
                  </w:r>
                </w:p>
              </w:tc>
              <w:tc>
                <w:tcPr>
                  <w:tcW w:w="909" w:type="pct"/>
                  <w:tcBorders>
                    <w:tl2br w:val="nil"/>
                    <w:tr2bl w:val="nil"/>
                  </w:tcBorders>
                  <w:shd w:val="clear" w:color="auto" w:fill="auto"/>
                  <w:noWrap w:val="0"/>
                  <w:vAlign w:val="center"/>
                </w:tcPr>
                <w:p w14:paraId="66A23258">
                  <w:pPr>
                    <w:pStyle w:val="110"/>
                    <w:spacing w:before="25"/>
                    <w:ind w:left="95" w:right="83"/>
                    <w:jc w:val="center"/>
                    <w:rPr>
                      <w:rFonts w:hint="default" w:ascii="宋体" w:hAnsi="宋体" w:eastAsia="宋体" w:cs="宋体"/>
                      <w:sz w:val="21"/>
                      <w:highlight w:val="none"/>
                      <w:lang w:val="en-US" w:eastAsia="zh-CN"/>
                    </w:rPr>
                  </w:pPr>
                  <w:r>
                    <w:rPr>
                      <w:rFonts w:ascii="宋体" w:hAnsi="宋体" w:eastAsia="宋体" w:cs="宋体"/>
                      <w:sz w:val="21"/>
                      <w:highlight w:val="none"/>
                    </w:rPr>
                    <w:t>空压机</w:t>
                  </w:r>
                </w:p>
              </w:tc>
              <w:tc>
                <w:tcPr>
                  <w:tcW w:w="487" w:type="pct"/>
                  <w:tcBorders>
                    <w:tl2br w:val="nil"/>
                    <w:tr2bl w:val="nil"/>
                  </w:tcBorders>
                  <w:noWrap w:val="0"/>
                  <w:vAlign w:val="center"/>
                </w:tcPr>
                <w:p w14:paraId="21CE6230">
                  <w:pPr>
                    <w:pStyle w:val="110"/>
                    <w:spacing w:before="25"/>
                    <w:ind w:left="95" w:right="83"/>
                    <w:jc w:val="center"/>
                    <w:rPr>
                      <w:rFonts w:hint="default" w:ascii="宋体" w:hAnsi="宋体" w:eastAsia="宋体" w:cs="宋体"/>
                      <w:sz w:val="21"/>
                      <w:highlight w:val="none"/>
                      <w:lang w:val="en-US" w:eastAsia="zh-CN"/>
                    </w:rPr>
                  </w:pPr>
                  <w:r>
                    <w:rPr>
                      <w:rFonts w:hint="default" w:ascii="宋体" w:hAnsi="宋体" w:eastAsia="宋体" w:cs="宋体"/>
                      <w:sz w:val="21"/>
                      <w:highlight w:val="none"/>
                      <w:lang w:val="en-US" w:eastAsia="zh-CN"/>
                    </w:rPr>
                    <w:t>1</w:t>
                  </w:r>
                </w:p>
              </w:tc>
              <w:tc>
                <w:tcPr>
                  <w:tcW w:w="959" w:type="pct"/>
                  <w:tcBorders>
                    <w:tl2br w:val="nil"/>
                    <w:tr2bl w:val="nil"/>
                  </w:tcBorders>
                  <w:shd w:val="clear" w:color="auto" w:fill="auto"/>
                  <w:noWrap w:val="0"/>
                  <w:vAlign w:val="center"/>
                </w:tcPr>
                <w:p w14:paraId="26ECBD8D">
                  <w:pPr>
                    <w:pStyle w:val="110"/>
                    <w:spacing w:before="25"/>
                    <w:ind w:left="95" w:right="83"/>
                    <w:jc w:val="center"/>
                    <w:rPr>
                      <w:rFonts w:hint="default" w:ascii="宋体" w:hAnsi="宋体" w:eastAsia="宋体" w:cs="宋体"/>
                      <w:sz w:val="21"/>
                      <w:highlight w:val="none"/>
                      <w:lang w:val="en-US" w:eastAsia="zh-CN"/>
                    </w:rPr>
                  </w:pPr>
                  <w:r>
                    <w:rPr>
                      <w:rFonts w:ascii="宋体" w:hAnsi="宋体" w:eastAsia="宋体" w:cs="宋体"/>
                      <w:sz w:val="21"/>
                      <w:highlight w:val="none"/>
                    </w:rPr>
                    <w:t>85</w:t>
                  </w:r>
                </w:p>
              </w:tc>
              <w:tc>
                <w:tcPr>
                  <w:tcW w:w="1578" w:type="pct"/>
                  <w:tcBorders>
                    <w:tl2br w:val="nil"/>
                    <w:tr2bl w:val="nil"/>
                  </w:tcBorders>
                  <w:noWrap w:val="0"/>
                  <w:vAlign w:val="center"/>
                </w:tcPr>
                <w:p w14:paraId="07E6D7A2">
                  <w:pPr>
                    <w:pStyle w:val="110"/>
                    <w:spacing w:before="25"/>
                    <w:ind w:left="95" w:right="83"/>
                    <w:jc w:val="center"/>
                    <w:rPr>
                      <w:rFonts w:hint="default" w:ascii="宋体" w:hAnsi="宋体" w:eastAsia="宋体" w:cs="宋体"/>
                      <w:sz w:val="21"/>
                      <w:highlight w:val="none"/>
                      <w:lang w:val="en-US"/>
                    </w:rPr>
                  </w:pPr>
                  <w:r>
                    <w:rPr>
                      <w:rFonts w:ascii="宋体" w:hAnsi="宋体" w:eastAsia="宋体" w:cs="宋体"/>
                      <w:sz w:val="21"/>
                      <w:highlight w:val="none"/>
                    </w:rPr>
                    <w:t>安装减振垫</w:t>
                  </w:r>
                </w:p>
              </w:tc>
            </w:tr>
            <w:tr w14:paraId="73A9DCB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397" w:type="pct"/>
                  <w:tcBorders>
                    <w:tl2br w:val="nil"/>
                    <w:tr2bl w:val="nil"/>
                  </w:tcBorders>
                  <w:noWrap w:val="0"/>
                  <w:vAlign w:val="center"/>
                </w:tcPr>
                <w:p w14:paraId="00C01885">
                  <w:pPr>
                    <w:autoSpaceDE w:val="0"/>
                    <w:autoSpaceDN w:val="0"/>
                    <w:adjustRightInd w:val="0"/>
                    <w:snapToGrid w:val="0"/>
                    <w:jc w:val="center"/>
                    <w:rPr>
                      <w:rFonts w:hint="default" w:ascii="Times New Roman" w:hAnsi="Times New Roman" w:eastAsia="宋体" w:cs="Times New Roman"/>
                      <w:smallCaps w:val="0"/>
                      <w:color w:val="auto"/>
                      <w:sz w:val="21"/>
                      <w:szCs w:val="21"/>
                      <w:highlight w:val="none"/>
                    </w:rPr>
                  </w:pPr>
                  <w:r>
                    <w:rPr>
                      <w:rFonts w:hint="default" w:ascii="Times New Roman" w:hAnsi="Times New Roman" w:eastAsia="宋体" w:cs="Times New Roman"/>
                      <w:smallCaps w:val="0"/>
                      <w:color w:val="auto"/>
                      <w:sz w:val="21"/>
                      <w:szCs w:val="21"/>
                      <w:highlight w:val="none"/>
                    </w:rPr>
                    <w:t>2</w:t>
                  </w:r>
                </w:p>
              </w:tc>
              <w:tc>
                <w:tcPr>
                  <w:tcW w:w="667" w:type="pct"/>
                  <w:vMerge w:val="continue"/>
                  <w:tcBorders>
                    <w:tl2br w:val="nil"/>
                    <w:tr2bl w:val="nil"/>
                  </w:tcBorders>
                  <w:shd w:val="clear" w:color="auto" w:fill="auto"/>
                  <w:noWrap w:val="0"/>
                  <w:vAlign w:val="center"/>
                </w:tcPr>
                <w:p w14:paraId="112784A8">
                  <w:pPr>
                    <w:autoSpaceDE w:val="0"/>
                    <w:autoSpaceDN w:val="0"/>
                    <w:adjustRightInd w:val="0"/>
                    <w:snapToGrid w:val="0"/>
                    <w:jc w:val="center"/>
                    <w:rPr>
                      <w:color w:val="000000"/>
                      <w:sz w:val="18"/>
                      <w:szCs w:val="18"/>
                      <w:highlight w:val="none"/>
                    </w:rPr>
                  </w:pPr>
                </w:p>
              </w:tc>
              <w:tc>
                <w:tcPr>
                  <w:tcW w:w="909" w:type="pct"/>
                  <w:tcBorders>
                    <w:tl2br w:val="nil"/>
                    <w:tr2bl w:val="nil"/>
                  </w:tcBorders>
                  <w:shd w:val="clear" w:color="auto" w:fill="auto"/>
                  <w:noWrap w:val="0"/>
                  <w:vAlign w:val="center"/>
                </w:tcPr>
                <w:p w14:paraId="30459365">
                  <w:pPr>
                    <w:pStyle w:val="110"/>
                    <w:spacing w:before="25"/>
                    <w:ind w:left="95" w:right="83"/>
                    <w:jc w:val="center"/>
                    <w:rPr>
                      <w:rFonts w:hint="default" w:ascii="宋体" w:hAnsi="宋体" w:eastAsia="宋体" w:cs="宋体"/>
                      <w:sz w:val="21"/>
                      <w:highlight w:val="none"/>
                      <w:lang w:val="en-US" w:eastAsia="zh-CN"/>
                    </w:rPr>
                  </w:pPr>
                  <w:r>
                    <w:rPr>
                      <w:rFonts w:ascii="宋体" w:hAnsi="宋体" w:eastAsia="宋体" w:cs="宋体"/>
                      <w:sz w:val="21"/>
                      <w:highlight w:val="none"/>
                    </w:rPr>
                    <w:t>空调外机</w:t>
                  </w:r>
                </w:p>
              </w:tc>
              <w:tc>
                <w:tcPr>
                  <w:tcW w:w="487" w:type="pct"/>
                  <w:tcBorders>
                    <w:tl2br w:val="nil"/>
                    <w:tr2bl w:val="nil"/>
                  </w:tcBorders>
                  <w:noWrap w:val="0"/>
                  <w:vAlign w:val="center"/>
                </w:tcPr>
                <w:p w14:paraId="5FDD22EA">
                  <w:pPr>
                    <w:pStyle w:val="110"/>
                    <w:spacing w:before="25"/>
                    <w:ind w:left="95" w:right="83"/>
                    <w:jc w:val="center"/>
                    <w:rPr>
                      <w:rFonts w:hint="default" w:ascii="宋体" w:hAnsi="宋体" w:eastAsia="宋体" w:cs="宋体"/>
                      <w:sz w:val="21"/>
                      <w:highlight w:val="none"/>
                      <w:lang w:val="en-US" w:eastAsia="zh-CN"/>
                    </w:rPr>
                  </w:pPr>
                  <w:r>
                    <w:rPr>
                      <w:rFonts w:hint="default" w:ascii="宋体" w:hAnsi="宋体" w:eastAsia="宋体" w:cs="宋体"/>
                      <w:sz w:val="21"/>
                      <w:highlight w:val="none"/>
                      <w:lang w:val="en-US" w:eastAsia="zh-CN"/>
                    </w:rPr>
                    <w:t>1</w:t>
                  </w:r>
                </w:p>
              </w:tc>
              <w:tc>
                <w:tcPr>
                  <w:tcW w:w="959" w:type="pct"/>
                  <w:tcBorders>
                    <w:tl2br w:val="nil"/>
                    <w:tr2bl w:val="nil"/>
                  </w:tcBorders>
                  <w:shd w:val="clear" w:color="auto" w:fill="auto"/>
                  <w:noWrap w:val="0"/>
                  <w:vAlign w:val="center"/>
                </w:tcPr>
                <w:p w14:paraId="0544547F">
                  <w:pPr>
                    <w:pStyle w:val="110"/>
                    <w:spacing w:before="25"/>
                    <w:ind w:left="95" w:right="83"/>
                    <w:jc w:val="center"/>
                    <w:rPr>
                      <w:rFonts w:hint="default" w:ascii="宋体" w:hAnsi="宋体" w:eastAsia="宋体" w:cs="宋体"/>
                      <w:sz w:val="21"/>
                      <w:highlight w:val="none"/>
                      <w:lang w:val="en-US" w:eastAsia="zh-CN"/>
                    </w:rPr>
                  </w:pPr>
                  <w:r>
                    <w:rPr>
                      <w:rFonts w:ascii="宋体" w:hAnsi="宋体" w:eastAsia="宋体" w:cs="宋体"/>
                      <w:sz w:val="21"/>
                      <w:highlight w:val="none"/>
                    </w:rPr>
                    <w:t>70</w:t>
                  </w:r>
                </w:p>
              </w:tc>
              <w:tc>
                <w:tcPr>
                  <w:tcW w:w="1578" w:type="pct"/>
                  <w:tcBorders>
                    <w:tl2br w:val="nil"/>
                    <w:tr2bl w:val="nil"/>
                  </w:tcBorders>
                  <w:noWrap w:val="0"/>
                  <w:vAlign w:val="center"/>
                </w:tcPr>
                <w:p w14:paraId="5B2C9863">
                  <w:pPr>
                    <w:pStyle w:val="110"/>
                    <w:spacing w:before="25"/>
                    <w:ind w:right="83"/>
                    <w:jc w:val="center"/>
                    <w:rPr>
                      <w:rFonts w:hint="default" w:ascii="宋体" w:hAnsi="宋体" w:eastAsia="宋体" w:cs="宋体"/>
                      <w:sz w:val="21"/>
                      <w:highlight w:val="none"/>
                    </w:rPr>
                  </w:pPr>
                  <w:r>
                    <w:rPr>
                      <w:rFonts w:ascii="宋体" w:hAnsi="宋体" w:eastAsia="宋体" w:cs="宋体"/>
                      <w:sz w:val="21"/>
                      <w:highlight w:val="none"/>
                    </w:rPr>
                    <w:t>安装减振垫</w:t>
                  </w:r>
                </w:p>
              </w:tc>
            </w:tr>
            <w:tr w14:paraId="517E411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397" w:type="pct"/>
                  <w:vAlign w:val="center"/>
                </w:tcPr>
                <w:p w14:paraId="08D1BE26">
                  <w:pPr>
                    <w:autoSpaceDE w:val="0"/>
                    <w:autoSpaceDN w:val="0"/>
                    <w:adjustRightInd w:val="0"/>
                    <w:snapToGrid w:val="0"/>
                    <w:jc w:val="center"/>
                    <w:rPr>
                      <w:rFonts w:hint="default" w:ascii="Times New Roman" w:hAnsi="Times New Roman" w:eastAsia="宋体" w:cs="Times New Roman"/>
                      <w:smallCaps w:val="0"/>
                      <w:color w:val="auto"/>
                      <w:sz w:val="21"/>
                      <w:szCs w:val="21"/>
                      <w:highlight w:val="none"/>
                      <w:lang w:val="en-US" w:eastAsia="zh-CN"/>
                    </w:rPr>
                  </w:pPr>
                  <w:r>
                    <w:rPr>
                      <w:rFonts w:hint="eastAsia" w:ascii="Times New Roman" w:hAnsi="Times New Roman" w:cs="Times New Roman"/>
                      <w:smallCaps w:val="0"/>
                      <w:color w:val="auto"/>
                      <w:sz w:val="21"/>
                      <w:szCs w:val="21"/>
                      <w:highlight w:val="none"/>
                      <w:lang w:val="en-US" w:eastAsia="zh-CN"/>
                    </w:rPr>
                    <w:t>4</w:t>
                  </w:r>
                </w:p>
              </w:tc>
              <w:tc>
                <w:tcPr>
                  <w:tcW w:w="667" w:type="pct"/>
                  <w:vMerge w:val="continue"/>
                  <w:shd w:val="clear" w:color="auto" w:fill="auto"/>
                  <w:vAlign w:val="center"/>
                </w:tcPr>
                <w:p w14:paraId="7C167AD8">
                  <w:pPr>
                    <w:autoSpaceDE w:val="0"/>
                    <w:autoSpaceDN w:val="0"/>
                    <w:adjustRightInd w:val="0"/>
                    <w:snapToGrid w:val="0"/>
                    <w:jc w:val="center"/>
                    <w:rPr>
                      <w:color w:val="000000"/>
                      <w:sz w:val="18"/>
                      <w:szCs w:val="18"/>
                      <w:highlight w:val="none"/>
                    </w:rPr>
                  </w:pPr>
                </w:p>
              </w:tc>
              <w:tc>
                <w:tcPr>
                  <w:tcW w:w="909" w:type="pct"/>
                  <w:shd w:val="clear" w:color="auto" w:fill="auto"/>
                  <w:vAlign w:val="center"/>
                </w:tcPr>
                <w:p w14:paraId="41AD0915">
                  <w:pPr>
                    <w:pStyle w:val="110"/>
                    <w:spacing w:before="25"/>
                    <w:ind w:left="95" w:right="83"/>
                    <w:jc w:val="center"/>
                    <w:rPr>
                      <w:rFonts w:hint="default" w:ascii="宋体" w:hAnsi="宋体" w:eastAsia="宋体" w:cs="宋体"/>
                      <w:sz w:val="21"/>
                      <w:highlight w:val="none"/>
                      <w:lang w:val="en-US" w:eastAsia="zh-CN"/>
                    </w:rPr>
                  </w:pPr>
                  <w:r>
                    <w:rPr>
                      <w:rFonts w:ascii="宋体" w:hAnsi="宋体" w:eastAsia="宋体" w:cs="宋体"/>
                      <w:sz w:val="21"/>
                      <w:highlight w:val="none"/>
                    </w:rPr>
                    <w:t>风机</w:t>
                  </w:r>
                </w:p>
              </w:tc>
              <w:tc>
                <w:tcPr>
                  <w:tcW w:w="487" w:type="pct"/>
                  <w:vAlign w:val="center"/>
                </w:tcPr>
                <w:p w14:paraId="2BA57516">
                  <w:pPr>
                    <w:pStyle w:val="110"/>
                    <w:spacing w:before="25"/>
                    <w:ind w:left="95" w:right="83"/>
                    <w:jc w:val="center"/>
                    <w:rPr>
                      <w:rFonts w:hint="default" w:ascii="宋体" w:hAnsi="宋体" w:eastAsia="宋体" w:cs="宋体"/>
                      <w:sz w:val="21"/>
                      <w:highlight w:val="none"/>
                      <w:lang w:val="en-US" w:eastAsia="zh-CN"/>
                    </w:rPr>
                  </w:pPr>
                  <w:r>
                    <w:rPr>
                      <w:rFonts w:hint="default" w:ascii="宋体" w:hAnsi="宋体" w:eastAsia="宋体" w:cs="宋体"/>
                      <w:sz w:val="21"/>
                      <w:highlight w:val="none"/>
                      <w:lang w:val="en-US" w:eastAsia="zh-CN"/>
                    </w:rPr>
                    <w:t>1</w:t>
                  </w:r>
                </w:p>
              </w:tc>
              <w:tc>
                <w:tcPr>
                  <w:tcW w:w="959" w:type="pct"/>
                  <w:shd w:val="clear" w:color="auto" w:fill="auto"/>
                  <w:vAlign w:val="center"/>
                </w:tcPr>
                <w:p w14:paraId="7F8A6237">
                  <w:pPr>
                    <w:pStyle w:val="110"/>
                    <w:spacing w:before="25"/>
                    <w:ind w:left="95" w:right="83"/>
                    <w:jc w:val="center"/>
                    <w:rPr>
                      <w:rFonts w:hint="default" w:ascii="宋体" w:hAnsi="宋体" w:eastAsia="宋体" w:cs="宋体"/>
                      <w:sz w:val="21"/>
                      <w:highlight w:val="none"/>
                      <w:lang w:val="en-US" w:eastAsia="zh-CN"/>
                    </w:rPr>
                  </w:pPr>
                  <w:r>
                    <w:rPr>
                      <w:rFonts w:ascii="宋体" w:hAnsi="宋体" w:eastAsia="宋体" w:cs="宋体"/>
                      <w:sz w:val="21"/>
                      <w:highlight w:val="none"/>
                    </w:rPr>
                    <w:t>70</w:t>
                  </w:r>
                </w:p>
              </w:tc>
              <w:tc>
                <w:tcPr>
                  <w:tcW w:w="1578" w:type="pct"/>
                  <w:shd w:val="clear" w:color="auto" w:fill="auto"/>
                  <w:vAlign w:val="center"/>
                </w:tcPr>
                <w:p w14:paraId="29EBB903">
                  <w:pPr>
                    <w:pStyle w:val="110"/>
                    <w:spacing w:before="25"/>
                    <w:ind w:left="95" w:right="83"/>
                    <w:jc w:val="center"/>
                    <w:rPr>
                      <w:rFonts w:hint="default" w:ascii="宋体" w:hAnsi="宋体" w:eastAsia="宋体" w:cs="宋体"/>
                      <w:sz w:val="21"/>
                      <w:highlight w:val="none"/>
                      <w:lang w:val="zh-CN" w:eastAsia="zh-CN"/>
                    </w:rPr>
                  </w:pPr>
                  <w:r>
                    <w:rPr>
                      <w:rFonts w:ascii="宋体" w:hAnsi="宋体" w:eastAsia="宋体" w:cs="宋体"/>
                      <w:sz w:val="21"/>
                      <w:highlight w:val="none"/>
                    </w:rPr>
                    <w:t>安装减振垫</w:t>
                  </w:r>
                </w:p>
              </w:tc>
            </w:tr>
            <w:tr w14:paraId="253C8AD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397" w:type="pct"/>
                  <w:vAlign w:val="center"/>
                </w:tcPr>
                <w:p w14:paraId="2AF068E1">
                  <w:pPr>
                    <w:autoSpaceDE w:val="0"/>
                    <w:autoSpaceDN w:val="0"/>
                    <w:adjustRightInd w:val="0"/>
                    <w:snapToGrid w:val="0"/>
                    <w:jc w:val="center"/>
                    <w:rPr>
                      <w:rFonts w:hint="default" w:ascii="Times New Roman" w:hAnsi="Times New Roman" w:eastAsia="宋体" w:cs="Times New Roman"/>
                      <w:smallCaps w:val="0"/>
                      <w:color w:val="auto"/>
                      <w:sz w:val="21"/>
                      <w:szCs w:val="21"/>
                      <w:highlight w:val="none"/>
                      <w:lang w:val="en-US" w:eastAsia="zh-CN"/>
                    </w:rPr>
                  </w:pPr>
                  <w:r>
                    <w:rPr>
                      <w:rFonts w:hint="eastAsia" w:ascii="Times New Roman" w:hAnsi="Times New Roman" w:cs="Times New Roman"/>
                      <w:smallCaps w:val="0"/>
                      <w:color w:val="auto"/>
                      <w:sz w:val="21"/>
                      <w:szCs w:val="21"/>
                      <w:highlight w:val="none"/>
                      <w:lang w:val="en-US" w:eastAsia="zh-CN"/>
                    </w:rPr>
                    <w:t>4</w:t>
                  </w:r>
                </w:p>
              </w:tc>
              <w:tc>
                <w:tcPr>
                  <w:tcW w:w="667" w:type="pct"/>
                  <w:vMerge w:val="continue"/>
                  <w:shd w:val="clear" w:color="auto" w:fill="auto"/>
                  <w:vAlign w:val="center"/>
                </w:tcPr>
                <w:p w14:paraId="0C818559">
                  <w:pPr>
                    <w:autoSpaceDE w:val="0"/>
                    <w:autoSpaceDN w:val="0"/>
                    <w:adjustRightInd w:val="0"/>
                    <w:snapToGrid w:val="0"/>
                    <w:jc w:val="center"/>
                    <w:rPr>
                      <w:color w:val="000000"/>
                      <w:sz w:val="18"/>
                      <w:szCs w:val="18"/>
                      <w:highlight w:val="none"/>
                    </w:rPr>
                  </w:pPr>
                </w:p>
              </w:tc>
              <w:tc>
                <w:tcPr>
                  <w:tcW w:w="909" w:type="pct"/>
                  <w:shd w:val="clear" w:color="auto" w:fill="auto"/>
                  <w:vAlign w:val="center"/>
                </w:tcPr>
                <w:p w14:paraId="729E665E">
                  <w:pPr>
                    <w:pStyle w:val="110"/>
                    <w:spacing w:before="1"/>
                    <w:jc w:val="center"/>
                    <w:rPr>
                      <w:rFonts w:hint="default" w:ascii="Times New Roman" w:hAnsi="Times New Roman" w:eastAsia="宋体" w:cs="Times New Roman"/>
                      <w:b w:val="0"/>
                      <w:bCs w:val="0"/>
                      <w:smallCaps w:val="0"/>
                      <w:color w:val="auto"/>
                      <w:sz w:val="21"/>
                      <w:szCs w:val="21"/>
                      <w:highlight w:val="none"/>
                      <w:lang w:val="en-US" w:eastAsia="zh-CN"/>
                    </w:rPr>
                  </w:pPr>
                  <w:r>
                    <w:rPr>
                      <w:sz w:val="21"/>
                      <w:highlight w:val="none"/>
                    </w:rPr>
                    <w:t>离心机</w:t>
                  </w:r>
                </w:p>
              </w:tc>
              <w:tc>
                <w:tcPr>
                  <w:tcW w:w="487" w:type="pct"/>
                  <w:vAlign w:val="center"/>
                </w:tcPr>
                <w:p w14:paraId="72C52242">
                  <w:pPr>
                    <w:autoSpaceDE w:val="0"/>
                    <w:autoSpaceDN w:val="0"/>
                    <w:adjustRightInd w:val="0"/>
                    <w:snapToGrid w:val="0"/>
                    <w:jc w:val="center"/>
                    <w:rPr>
                      <w:rFonts w:hint="default" w:ascii="Times New Roman" w:hAnsi="Times New Roman" w:eastAsia="宋体" w:cs="Times New Roman"/>
                      <w:b w:val="0"/>
                      <w:bCs w:val="0"/>
                      <w:smallCaps w:val="0"/>
                      <w:color w:val="auto"/>
                      <w:sz w:val="21"/>
                      <w:szCs w:val="21"/>
                      <w:highlight w:val="none"/>
                      <w:lang w:val="en-US" w:eastAsia="zh-CN"/>
                    </w:rPr>
                  </w:pPr>
                  <w:r>
                    <w:rPr>
                      <w:rFonts w:hint="default" w:ascii="Times New Roman" w:hAnsi="Times New Roman" w:cs="Times New Roman"/>
                      <w:b w:val="0"/>
                      <w:bCs w:val="0"/>
                      <w:smallCaps w:val="0"/>
                      <w:color w:val="auto"/>
                      <w:sz w:val="21"/>
                      <w:szCs w:val="21"/>
                      <w:highlight w:val="none"/>
                      <w:lang w:val="en-US" w:eastAsia="zh-CN"/>
                    </w:rPr>
                    <w:t>1</w:t>
                  </w:r>
                </w:p>
              </w:tc>
              <w:tc>
                <w:tcPr>
                  <w:tcW w:w="959" w:type="pct"/>
                  <w:shd w:val="clear" w:color="auto" w:fill="auto"/>
                  <w:vAlign w:val="center"/>
                </w:tcPr>
                <w:p w14:paraId="09D08A14">
                  <w:pPr>
                    <w:pStyle w:val="110"/>
                    <w:jc w:val="center"/>
                    <w:rPr>
                      <w:rFonts w:hint="default" w:ascii="Times New Roman" w:hAnsi="Times New Roman" w:eastAsia="宋体" w:cs="Times New Roman"/>
                      <w:b w:val="0"/>
                      <w:bCs w:val="0"/>
                      <w:smallCaps w:val="0"/>
                      <w:color w:val="auto"/>
                      <w:sz w:val="21"/>
                      <w:szCs w:val="21"/>
                      <w:highlight w:val="none"/>
                      <w:lang w:val="en-US" w:eastAsia="zh-CN"/>
                    </w:rPr>
                  </w:pPr>
                  <w:r>
                    <w:rPr>
                      <w:rFonts w:ascii="Times New Roman"/>
                      <w:sz w:val="21"/>
                      <w:highlight w:val="none"/>
                    </w:rPr>
                    <w:t>65</w:t>
                  </w:r>
                </w:p>
              </w:tc>
              <w:tc>
                <w:tcPr>
                  <w:tcW w:w="1578" w:type="pct"/>
                  <w:shd w:val="clear" w:color="auto" w:fill="auto"/>
                  <w:vAlign w:val="center"/>
                </w:tcPr>
                <w:p w14:paraId="1AFC6EB7">
                  <w:pPr>
                    <w:pStyle w:val="110"/>
                    <w:spacing w:before="43"/>
                    <w:ind w:right="106"/>
                    <w:jc w:val="center"/>
                    <w:rPr>
                      <w:rFonts w:hint="default" w:ascii="宋体" w:hAnsi="宋体" w:eastAsia="宋体" w:cs="宋体"/>
                      <w:kern w:val="2"/>
                      <w:sz w:val="21"/>
                      <w:szCs w:val="22"/>
                      <w:highlight w:val="none"/>
                      <w:lang w:val="zh-CN" w:eastAsia="zh-CN" w:bidi="zh-CN"/>
                    </w:rPr>
                  </w:pPr>
                  <w:r>
                    <w:rPr>
                      <w:sz w:val="21"/>
                      <w:highlight w:val="none"/>
                    </w:rPr>
                    <w:t>置于房间内，安装减振垫</w:t>
                  </w:r>
                </w:p>
              </w:tc>
            </w:tr>
          </w:tbl>
          <w:p w14:paraId="1CF92C2C">
            <w:pPr>
              <w:keepNext w:val="0"/>
              <w:keepLines w:val="0"/>
              <w:pageBreakBefore w:val="0"/>
              <w:widowControl w:val="0"/>
              <w:kinsoku/>
              <w:wordWrap/>
              <w:overflowPunct/>
              <w:topLinePunct w:val="0"/>
              <w:autoSpaceDE/>
              <w:autoSpaceDN/>
              <w:bidi w:val="0"/>
              <w:adjustRightInd/>
              <w:snapToGrid w:val="0"/>
              <w:spacing w:line="360" w:lineRule="auto"/>
              <w:textAlignment w:val="auto"/>
              <w:rPr>
                <w:rFonts w:hint="default" w:ascii="Times New Roman" w:hAnsi="Times New Roman" w:cs="Times New Roman"/>
                <w:b/>
                <w:bCs/>
                <w:color w:val="auto"/>
                <w:sz w:val="24"/>
                <w:szCs w:val="24"/>
                <w:highlight w:val="none"/>
              </w:rPr>
            </w:pPr>
            <w:r>
              <w:rPr>
                <w:rFonts w:hint="eastAsia" w:ascii="Times New Roman" w:hAnsi="Times New Roman" w:cs="Times New Roman"/>
                <w:b/>
                <w:bCs/>
                <w:color w:val="auto"/>
                <w:sz w:val="24"/>
                <w:szCs w:val="24"/>
                <w:highlight w:val="none"/>
                <w:lang w:val="en-US" w:eastAsia="zh-CN"/>
              </w:rPr>
              <w:t>四</w:t>
            </w:r>
            <w:r>
              <w:rPr>
                <w:rFonts w:hint="default" w:ascii="Times New Roman" w:hAnsi="Times New Roman" w:cs="Times New Roman"/>
                <w:b/>
                <w:bCs/>
                <w:color w:val="auto"/>
                <w:sz w:val="24"/>
                <w:szCs w:val="24"/>
                <w:highlight w:val="none"/>
              </w:rPr>
              <w:t>、固体废物</w:t>
            </w:r>
          </w:p>
          <w:p w14:paraId="76112C3B">
            <w:pPr>
              <w:pStyle w:val="6"/>
              <w:keepNext w:val="0"/>
              <w:keepLines w:val="0"/>
              <w:pageBreakBefore w:val="0"/>
              <w:widowControl/>
              <w:kinsoku/>
              <w:wordWrap/>
              <w:overflowPunct/>
              <w:topLinePunct w:val="0"/>
              <w:autoSpaceDE/>
              <w:autoSpaceDN/>
              <w:bidi w:val="0"/>
              <w:adjustRightInd/>
              <w:snapToGrid/>
              <w:spacing w:line="360" w:lineRule="auto"/>
              <w:ind w:leftChars="0" w:firstLine="480" w:firstLineChars="200"/>
              <w:jc w:val="both"/>
              <w:textAlignment w:val="auto"/>
              <w:rPr>
                <w:rFonts w:hint="default" w:ascii="Times New Roman" w:hAnsi="Times New Roman" w:eastAsia="宋体" w:cs="Times New Roman"/>
                <w:b w:val="0"/>
                <w:bCs w:val="0"/>
                <w:color w:val="auto"/>
                <w:kern w:val="0"/>
                <w:sz w:val="24"/>
                <w:szCs w:val="24"/>
                <w:highlight w:val="none"/>
                <w:u w:val="none"/>
                <w:lang w:val="en-US" w:eastAsia="zh-CN" w:bidi="ar"/>
              </w:rPr>
            </w:pPr>
            <w:r>
              <w:rPr>
                <w:rFonts w:hint="default" w:ascii="Times New Roman" w:hAnsi="Times New Roman" w:eastAsia="宋体" w:cs="Times New Roman"/>
                <w:b w:val="0"/>
                <w:bCs w:val="0"/>
                <w:color w:val="auto"/>
                <w:kern w:val="2"/>
                <w:sz w:val="24"/>
                <w:szCs w:val="24"/>
                <w:highlight w:val="none"/>
                <w:u w:val="none"/>
                <w:lang w:val="en-US" w:eastAsia="zh-CN" w:bidi="ar-SA"/>
              </w:rPr>
              <w:t>本项目固废主要</w:t>
            </w:r>
            <w:r>
              <w:rPr>
                <w:rFonts w:hint="eastAsia" w:ascii="Times New Roman" w:hAnsi="Times New Roman" w:eastAsia="宋体" w:cs="Times New Roman"/>
                <w:b w:val="0"/>
                <w:bCs w:val="0"/>
                <w:color w:val="auto"/>
                <w:kern w:val="0"/>
                <w:sz w:val="24"/>
                <w:szCs w:val="24"/>
                <w:highlight w:val="none"/>
                <w:u w:val="none"/>
                <w:lang w:val="en-US" w:eastAsia="zh-CN" w:bidi="ar"/>
              </w:rPr>
              <w:t>为</w:t>
            </w:r>
            <w:r>
              <w:rPr>
                <w:rFonts w:hint="default" w:ascii="Times New Roman" w:hAnsi="Times New Roman" w:eastAsia="宋体" w:cs="Times New Roman"/>
                <w:b w:val="0"/>
                <w:bCs w:val="0"/>
                <w:color w:val="auto"/>
                <w:kern w:val="0"/>
                <w:sz w:val="24"/>
                <w:szCs w:val="24"/>
                <w:highlight w:val="none"/>
                <w:u w:val="none"/>
                <w:lang w:val="en-US" w:eastAsia="zh-CN" w:bidi="ar"/>
              </w:rPr>
              <w:t>生活垃圾、一般固体废物及危险废物。</w:t>
            </w:r>
          </w:p>
          <w:p w14:paraId="04003B4F">
            <w:pPr>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（1）生活垃圾</w:t>
            </w:r>
          </w:p>
          <w:p w14:paraId="338378A9">
            <w:pPr>
              <w:spacing w:line="360" w:lineRule="auto"/>
              <w:ind w:firstLine="480" w:firstLineChars="200"/>
              <w:rPr>
                <w:rFonts w:hint="eastAsia" w:ascii="Times New Roman" w:hAnsi="Times New Roman" w:cs="Times New Roman" w:eastAsiaTheme="minorEastAsia"/>
                <w:sz w:val="24"/>
                <w:szCs w:val="24"/>
                <w:lang w:eastAsia="zh-CN"/>
              </w:rPr>
            </w:pPr>
            <w:r>
              <w:rPr>
                <w:rFonts w:hint="eastAsia" w:ascii="Times New Roman" w:hAnsi="Times New Roman" w:cs="Times New Roman"/>
                <w:sz w:val="24"/>
                <w:szCs w:val="28"/>
                <w:lang w:val="en-US" w:eastAsia="zh-CN"/>
              </w:rPr>
              <w:t>本项目生活垃圾经</w:t>
            </w:r>
            <w:r>
              <w:rPr>
                <w:rFonts w:hint="default" w:ascii="Times New Roman" w:hAnsi="Times New Roman" w:cs="Times New Roman"/>
                <w:sz w:val="24"/>
                <w:szCs w:val="28"/>
                <w:lang w:val="en-US" w:eastAsia="zh-CN"/>
              </w:rPr>
              <w:t>分类收集</w:t>
            </w:r>
            <w:r>
              <w:rPr>
                <w:rFonts w:hint="eastAsia" w:ascii="Times New Roman" w:hAnsi="Times New Roman" w:cs="Times New Roman"/>
                <w:sz w:val="24"/>
                <w:szCs w:val="28"/>
                <w:lang w:val="en-US" w:eastAsia="zh-CN"/>
              </w:rPr>
              <w:t>后</w:t>
            </w:r>
            <w:r>
              <w:rPr>
                <w:rFonts w:hint="default" w:ascii="Times New Roman" w:hAnsi="Times New Roman" w:cs="Times New Roman"/>
                <w:sz w:val="24"/>
                <w:szCs w:val="28"/>
                <w:lang w:val="en-US" w:eastAsia="zh-CN"/>
              </w:rPr>
              <w:t>，</w:t>
            </w:r>
            <w:r>
              <w:rPr>
                <w:rFonts w:hint="eastAsia" w:ascii="Times New Roman" w:hAnsi="Times New Roman" w:cs="Times New Roman"/>
                <w:sz w:val="24"/>
                <w:szCs w:val="24"/>
              </w:rPr>
              <w:t>转运至园区垃圾站，由物业委托环卫部门清运</w:t>
            </w:r>
            <w:r>
              <w:rPr>
                <w:rFonts w:hint="eastAsia" w:ascii="Times New Roman" w:hAnsi="Times New Roman" w:cs="Times New Roman"/>
                <w:sz w:val="24"/>
                <w:szCs w:val="24"/>
                <w:lang w:eastAsia="zh-CN"/>
              </w:rPr>
              <w:t>。</w:t>
            </w:r>
          </w:p>
          <w:p w14:paraId="338ACC37">
            <w:pPr>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（2）一般工业固体废物</w:t>
            </w:r>
          </w:p>
          <w:p w14:paraId="099E8A4F">
            <w:pPr>
              <w:spacing w:line="360" w:lineRule="auto"/>
              <w:ind w:firstLine="480" w:firstLineChars="200"/>
              <w:rPr>
                <w:rFonts w:hint="eastAsia" w:ascii="Times New Roman" w:hAnsi="Times New Roman" w:cs="Times New Roman" w:eastAsiaTheme="minorEastAsia"/>
                <w:sz w:val="24"/>
                <w:szCs w:val="28"/>
                <w:lang w:val="en-US" w:eastAsia="zh-CN"/>
              </w:rPr>
            </w:pPr>
            <w:r>
              <w:rPr>
                <w:rFonts w:hint="default" w:ascii="Times New Roman" w:hAnsi="Times New Roman" w:cs="Times New Roman"/>
                <w:sz w:val="24"/>
                <w:szCs w:val="28"/>
                <w:lang w:val="en-US" w:eastAsia="zh-CN"/>
              </w:rPr>
              <w:t>一般工业固体废物</w:t>
            </w:r>
            <w:r>
              <w:rPr>
                <w:rFonts w:hint="eastAsia" w:ascii="Times New Roman" w:hAnsi="Times New Roman" w:cs="Times New Roman"/>
                <w:sz w:val="24"/>
                <w:szCs w:val="28"/>
                <w:lang w:val="en-US" w:eastAsia="zh-CN"/>
              </w:rPr>
              <w:t>主要是</w:t>
            </w:r>
            <w:r>
              <w:rPr>
                <w:rFonts w:hint="eastAsia" w:ascii="Times New Roman" w:hAnsi="Times New Roman" w:cs="Times New Roman"/>
                <w:sz w:val="24"/>
                <w:szCs w:val="28"/>
                <w:lang w:val="zh-TW" w:eastAsia="zh-CN"/>
              </w:rPr>
              <w:t>各种废弃的包装材料等</w:t>
            </w:r>
            <w:r>
              <w:rPr>
                <w:rFonts w:hint="eastAsia" w:ascii="Times New Roman" w:hAnsi="Times New Roman" w:cs="Times New Roman"/>
                <w:sz w:val="24"/>
                <w:szCs w:val="28"/>
                <w:lang w:val="en-US" w:eastAsia="zh-CN"/>
              </w:rPr>
              <w:t>，</w:t>
            </w:r>
            <w:r>
              <w:rPr>
                <w:rFonts w:hint="eastAsia" w:ascii="Times New Roman" w:hAnsi="Times New Roman" w:cs="Times New Roman"/>
                <w:sz w:val="24"/>
                <w:szCs w:val="24"/>
              </w:rPr>
              <w:t>转运至园区垃圾站，由物业委托环卫部门清运</w:t>
            </w:r>
            <w:r>
              <w:rPr>
                <w:rFonts w:hint="eastAsia" w:ascii="Times New Roman" w:hAnsi="Times New Roman" w:cs="Times New Roman"/>
                <w:sz w:val="24"/>
                <w:szCs w:val="24"/>
                <w:lang w:eastAsia="zh-CN"/>
              </w:rPr>
              <w:t>。</w:t>
            </w:r>
          </w:p>
          <w:p w14:paraId="46A6A1F6">
            <w:pPr>
              <w:pStyle w:val="6"/>
              <w:keepNext w:val="0"/>
              <w:keepLines w:val="0"/>
              <w:pageBreakBefore w:val="0"/>
              <w:widowControl/>
              <w:kinsoku/>
              <w:wordWrap/>
              <w:overflowPunct/>
              <w:topLinePunct w:val="0"/>
              <w:autoSpaceDE/>
              <w:autoSpaceDN/>
              <w:bidi w:val="0"/>
              <w:adjustRightInd/>
              <w:snapToGrid/>
              <w:spacing w:line="360" w:lineRule="auto"/>
              <w:ind w:leftChars="0" w:firstLine="480" w:firstLineChars="200"/>
              <w:jc w:val="both"/>
              <w:textAlignment w:val="auto"/>
              <w:rPr>
                <w:rFonts w:hint="default" w:ascii="Times New Roman" w:hAnsi="Times New Roman" w:cs="Times New Roman"/>
                <w:b w:val="0"/>
                <w:bCs w:val="0"/>
                <w:color w:val="auto"/>
                <w:kern w:val="2"/>
                <w:sz w:val="24"/>
                <w:szCs w:val="24"/>
                <w:highlight w:val="none"/>
                <w:u w:val="none"/>
                <w:lang w:val="en-US" w:eastAsia="zh-CN" w:bidi="ar-SA"/>
              </w:rPr>
            </w:pPr>
            <w:r>
              <w:rPr>
                <w:rFonts w:hint="default" w:ascii="Times New Roman" w:hAnsi="Times New Roman" w:cs="Times New Roman"/>
                <w:b w:val="0"/>
                <w:bCs w:val="0"/>
                <w:color w:val="auto"/>
                <w:kern w:val="2"/>
                <w:sz w:val="24"/>
                <w:szCs w:val="24"/>
                <w:highlight w:val="none"/>
                <w:u w:val="none"/>
                <w:lang w:val="en-US" w:eastAsia="zh-CN" w:bidi="ar-SA"/>
              </w:rPr>
              <w:t>（3）危险废物</w:t>
            </w:r>
          </w:p>
          <w:p w14:paraId="07C01E35">
            <w:pPr>
              <w:keepNext w:val="0"/>
              <w:keepLines w:val="0"/>
              <w:pageBreakBefore w:val="0"/>
              <w:widowControl w:val="0"/>
              <w:kinsoku/>
              <w:wordWrap/>
              <w:overflowPunct/>
              <w:topLinePunct w:val="0"/>
              <w:autoSpaceDE/>
              <w:autoSpaceDN/>
              <w:bidi w:val="0"/>
              <w:adjustRightInd/>
              <w:snapToGrid/>
              <w:spacing w:beforeLines="0" w:afterLines="0" w:line="360" w:lineRule="auto"/>
              <w:ind w:firstLine="480" w:firstLineChars="200"/>
              <w:jc w:val="both"/>
              <w:textAlignment w:val="auto"/>
              <w:rPr>
                <w:rFonts w:hint="eastAsia" w:ascii="Times New Roman" w:hAnsi="Times New Roman" w:eastAsia="宋体" w:cs="Times New Roman"/>
                <w:color w:val="auto"/>
                <w:kern w:val="0"/>
                <w:sz w:val="24"/>
                <w:szCs w:val="24"/>
                <w:highlight w:val="none"/>
                <w:lang w:val="en-US" w:eastAsia="zh-CN" w:bidi="ar"/>
              </w:rPr>
            </w:pPr>
            <w:r>
              <w:rPr>
                <w:rFonts w:hint="eastAsia" w:ascii="Times New Roman" w:hAnsi="Times New Roman" w:eastAsia="宋体" w:cs="Times New Roman"/>
                <w:color w:val="auto"/>
                <w:kern w:val="0"/>
                <w:sz w:val="24"/>
                <w:szCs w:val="24"/>
                <w:highlight w:val="none"/>
                <w:lang w:val="en-US" w:eastAsia="zh-CN" w:bidi="ar"/>
              </w:rPr>
              <w:t>本项目运营中产生的危险废物主要为实验过程中产生的废化学试剂（HW49），检测过程中产生的检测废水（HW49），废气处理装置定期产生的废活性炭（HW49），实验过程中所用或者产生的废试剂瓶（HW49）、一次性口罩、手套、废培养基、废移液枪头（HW01）等。收集后</w:t>
            </w:r>
            <w:r>
              <w:rPr>
                <w:rFonts w:hint="eastAsia" w:ascii="Times New Roman" w:hAnsi="Times New Roman" w:eastAsia="宋体" w:cs="Times New Roman"/>
                <w:color w:val="auto"/>
                <w:kern w:val="0"/>
                <w:sz w:val="24"/>
                <w:szCs w:val="24"/>
                <w:highlight w:val="none"/>
                <w:lang w:val="zh-TW" w:eastAsia="zh-CN" w:bidi="ar"/>
              </w:rPr>
              <w:t>暂存于危废暂存间内，定期交由</w:t>
            </w:r>
            <w:r>
              <w:rPr>
                <w:rFonts w:hint="default" w:ascii="Times New Roman" w:hAnsi="Times New Roman" w:eastAsia="宋体" w:cs="Times New Roman"/>
                <w:color w:val="auto"/>
                <w:kern w:val="0"/>
                <w:sz w:val="24"/>
                <w:szCs w:val="24"/>
                <w:highlight w:val="none"/>
                <w:lang w:val="en-US" w:eastAsia="zh-CN" w:bidi="ar"/>
              </w:rPr>
              <w:t>北京鼎泰鹏宇环保科技有限公司</w:t>
            </w:r>
            <w:r>
              <w:rPr>
                <w:rFonts w:hint="eastAsia" w:ascii="Times New Roman" w:hAnsi="Times New Roman" w:eastAsia="宋体" w:cs="Times New Roman"/>
                <w:color w:val="auto"/>
                <w:kern w:val="0"/>
                <w:sz w:val="24"/>
                <w:szCs w:val="24"/>
                <w:highlight w:val="none"/>
                <w:lang w:val="en-US" w:eastAsia="zh-CN" w:bidi="ar"/>
              </w:rPr>
              <w:t>及北京鑫鑫顺通运输服务有限公司清运、</w:t>
            </w:r>
            <w:r>
              <w:rPr>
                <w:rFonts w:hint="eastAsia" w:ascii="Times New Roman" w:hAnsi="Times New Roman" w:eastAsia="宋体" w:cs="Times New Roman"/>
                <w:color w:val="auto"/>
                <w:kern w:val="0"/>
                <w:sz w:val="24"/>
                <w:szCs w:val="24"/>
                <w:highlight w:val="none"/>
                <w:lang w:val="zh-TW" w:eastAsia="zh-CN" w:bidi="ar"/>
              </w:rPr>
              <w:t>处置。</w:t>
            </w:r>
          </w:p>
          <w:p w14:paraId="3FB06443">
            <w:pPr>
              <w:pStyle w:val="42"/>
              <w:keepNext w:val="0"/>
              <w:keepLines w:val="0"/>
              <w:pageBreakBefore w:val="0"/>
              <w:widowControl w:val="0"/>
              <w:kinsoku/>
              <w:wordWrap/>
              <w:overflowPunct/>
              <w:topLinePunct w:val="0"/>
              <w:autoSpaceDE w:val="0"/>
              <w:autoSpaceDN w:val="0"/>
              <w:bidi w:val="0"/>
              <w:adjustRightInd/>
              <w:snapToGrid/>
              <w:spacing w:before="0" w:beforeLines="0" w:after="0" w:afterLines="0" w:line="360" w:lineRule="auto"/>
              <w:ind w:leftChars="0" w:firstLine="480" w:firstLineChars="200"/>
              <w:jc w:val="both"/>
              <w:textAlignment w:val="auto"/>
              <w:rPr>
                <w:rFonts w:hint="default" w:ascii="Times New Roman" w:hAnsi="Times New Roman" w:cs="Times New Roman"/>
                <w:b w:val="0"/>
                <w:bCs w:val="0"/>
                <w:color w:val="auto"/>
                <w:kern w:val="2"/>
                <w:sz w:val="24"/>
                <w:szCs w:val="24"/>
                <w:highlight w:val="none"/>
                <w:u w:val="none"/>
                <w:lang w:val="en-US" w:eastAsia="zh-CN" w:bidi="ar-SA"/>
              </w:rPr>
            </w:pPr>
            <w:r>
              <w:rPr>
                <w:rFonts w:hint="default" w:ascii="Times New Roman" w:hAnsi="Times New Roman" w:cs="Times New Roman"/>
                <w:b w:val="0"/>
                <w:bCs w:val="0"/>
                <w:color w:val="auto"/>
                <w:kern w:val="2"/>
                <w:sz w:val="24"/>
                <w:szCs w:val="24"/>
                <w:highlight w:val="none"/>
                <w:u w:val="none"/>
                <w:lang w:val="en-US" w:eastAsia="zh-CN" w:bidi="ar-SA"/>
              </w:rPr>
              <w:t>项目固废处置情况见下表。</w:t>
            </w:r>
          </w:p>
          <w:p w14:paraId="7B163DC3">
            <w:pPr>
              <w:pStyle w:val="24"/>
              <w:keepNext w:val="0"/>
              <w:keepLines w:val="0"/>
              <w:pageBreakBefore w:val="0"/>
              <w:widowControl/>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bCs/>
                <w:color w:val="auto"/>
                <w:kern w:val="2"/>
                <w:sz w:val="24"/>
                <w:szCs w:val="24"/>
                <w:highlight w:val="none"/>
                <w:lang w:val="en-US" w:eastAsia="zh-CN" w:bidi="ar-SA"/>
              </w:rPr>
            </w:pPr>
            <w:r>
              <w:rPr>
                <w:rFonts w:hint="default" w:ascii="Times New Roman" w:hAnsi="Times New Roman" w:eastAsia="宋体" w:cs="Times New Roman"/>
                <w:b/>
                <w:bCs/>
                <w:color w:val="auto"/>
                <w:kern w:val="2"/>
                <w:sz w:val="24"/>
                <w:szCs w:val="24"/>
                <w:highlight w:val="none"/>
                <w:lang w:val="en-US" w:eastAsia="zh-CN" w:bidi="ar-SA"/>
              </w:rPr>
              <w:t>表</w:t>
            </w:r>
            <w:r>
              <w:rPr>
                <w:rFonts w:hint="eastAsia" w:ascii="Times New Roman" w:hAnsi="Times New Roman" w:eastAsia="宋体" w:cs="Times New Roman"/>
                <w:b/>
                <w:bCs/>
                <w:color w:val="auto"/>
                <w:kern w:val="2"/>
                <w:sz w:val="24"/>
                <w:szCs w:val="24"/>
                <w:highlight w:val="none"/>
                <w:lang w:val="en-US" w:eastAsia="zh-CN" w:bidi="ar-SA"/>
              </w:rPr>
              <w:t xml:space="preserve">3-2 </w:t>
            </w:r>
            <w:r>
              <w:rPr>
                <w:rFonts w:hint="default" w:ascii="Times New Roman" w:hAnsi="Times New Roman" w:eastAsia="宋体" w:cs="Times New Roman"/>
                <w:b/>
                <w:bCs/>
                <w:color w:val="auto"/>
                <w:kern w:val="2"/>
                <w:sz w:val="24"/>
                <w:szCs w:val="24"/>
                <w:highlight w:val="none"/>
                <w:lang w:val="en-US" w:eastAsia="zh-CN" w:bidi="ar-SA"/>
              </w:rPr>
              <w:t>项目固体废物处置及排放情况</w:t>
            </w:r>
          </w:p>
          <w:tbl>
            <w:tblPr>
              <w:tblStyle w:val="30"/>
              <w:tblW w:w="9117"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29"/>
              <w:gridCol w:w="4174"/>
              <w:gridCol w:w="1049"/>
              <w:gridCol w:w="2765"/>
            </w:tblGrid>
            <w:tr w14:paraId="68E66D3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2" w:hRule="atLeast"/>
              </w:trPr>
              <w:tc>
                <w:tcPr>
                  <w:tcW w:w="619" w:type="pct"/>
                  <w:tcBorders>
                    <w:tl2br w:val="nil"/>
                    <w:tr2bl w:val="nil"/>
                  </w:tcBorders>
                  <w:noWrap w:val="0"/>
                  <w:vAlign w:val="center"/>
                </w:tcPr>
                <w:p w14:paraId="7B45306D">
                  <w:pPr>
                    <w:pStyle w:val="42"/>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2"/>
                      <w:sz w:val="21"/>
                      <w:szCs w:val="21"/>
                      <w:highlight w:val="none"/>
                      <w:vertAlign w:val="baseline"/>
                      <w:lang w:val="en-US" w:eastAsia="zh-CN" w:bidi="ar-SA"/>
                    </w:rPr>
                    <w:t>固废性质</w:t>
                  </w:r>
                </w:p>
              </w:tc>
              <w:tc>
                <w:tcPr>
                  <w:tcW w:w="2288" w:type="pct"/>
                  <w:tcBorders>
                    <w:tl2br w:val="nil"/>
                    <w:tr2bl w:val="nil"/>
                  </w:tcBorders>
                  <w:noWrap w:val="0"/>
                  <w:vAlign w:val="center"/>
                </w:tcPr>
                <w:p w14:paraId="671B49D6">
                  <w:pPr>
                    <w:pStyle w:val="42"/>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2"/>
                      <w:sz w:val="21"/>
                      <w:szCs w:val="21"/>
                      <w:highlight w:val="none"/>
                      <w:vertAlign w:val="baseline"/>
                      <w:lang w:val="en-US" w:eastAsia="zh-CN" w:bidi="ar-SA"/>
                    </w:rPr>
                    <w:t>污染物名称</w:t>
                  </w:r>
                </w:p>
              </w:tc>
              <w:tc>
                <w:tcPr>
                  <w:tcW w:w="575" w:type="pct"/>
                  <w:tcBorders>
                    <w:tl2br w:val="nil"/>
                    <w:tr2bl w:val="nil"/>
                  </w:tcBorders>
                  <w:noWrap w:val="0"/>
                  <w:vAlign w:val="center"/>
                </w:tcPr>
                <w:p w14:paraId="6121C1AC">
                  <w:pPr>
                    <w:pStyle w:val="42"/>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2"/>
                      <w:sz w:val="21"/>
                      <w:szCs w:val="21"/>
                      <w:highlight w:val="none"/>
                      <w:vertAlign w:val="baseline"/>
                      <w:lang w:val="en-US" w:eastAsia="zh-CN" w:bidi="ar-SA"/>
                    </w:rPr>
                    <w:t>产生量</w:t>
                  </w:r>
                </w:p>
              </w:tc>
              <w:tc>
                <w:tcPr>
                  <w:tcW w:w="1516" w:type="pct"/>
                  <w:tcBorders>
                    <w:tl2br w:val="nil"/>
                    <w:tr2bl w:val="nil"/>
                  </w:tcBorders>
                  <w:noWrap w:val="0"/>
                  <w:vAlign w:val="center"/>
                </w:tcPr>
                <w:p w14:paraId="06409796">
                  <w:pPr>
                    <w:pStyle w:val="42"/>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2"/>
                      <w:sz w:val="21"/>
                      <w:szCs w:val="21"/>
                      <w:highlight w:val="none"/>
                      <w:vertAlign w:val="baseline"/>
                      <w:lang w:val="en-US" w:eastAsia="zh-CN" w:bidi="ar-SA"/>
                    </w:rPr>
                    <w:t>处置措施</w:t>
                  </w:r>
                </w:p>
              </w:tc>
            </w:tr>
            <w:tr w14:paraId="6FEC721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9" w:hRule="atLeast"/>
              </w:trPr>
              <w:tc>
                <w:tcPr>
                  <w:tcW w:w="619" w:type="pct"/>
                  <w:vMerge w:val="restart"/>
                  <w:tcBorders>
                    <w:tl2br w:val="nil"/>
                    <w:tr2bl w:val="nil"/>
                  </w:tcBorders>
                  <w:noWrap w:val="0"/>
                  <w:vAlign w:val="center"/>
                </w:tcPr>
                <w:p w14:paraId="382C00B3">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2"/>
                      <w:sz w:val="21"/>
                      <w:szCs w:val="21"/>
                      <w:highlight w:val="none"/>
                      <w:vertAlign w:val="baseline"/>
                      <w:lang w:val="en-US" w:eastAsia="zh-CN" w:bidi="ar-SA"/>
                    </w:rPr>
                    <w:t>危险废物</w:t>
                  </w:r>
                </w:p>
              </w:tc>
              <w:tc>
                <w:tcPr>
                  <w:tcW w:w="2288" w:type="pct"/>
                  <w:tcBorders>
                    <w:tl2br w:val="nil"/>
                    <w:tr2bl w:val="nil"/>
                  </w:tcBorders>
                  <w:shd w:val="clear" w:color="auto" w:fill="auto"/>
                  <w:noWrap w:val="0"/>
                  <w:vAlign w:val="center"/>
                </w:tcPr>
                <w:p w14:paraId="219E038D">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2"/>
                      <w:sz w:val="21"/>
                      <w:szCs w:val="21"/>
                      <w:highlight w:val="none"/>
                      <w:vertAlign w:val="baseline"/>
                      <w:lang w:val="en-US" w:eastAsia="zh-CN" w:bidi="ar-SA"/>
                    </w:rPr>
                    <w:t>废化学试剂，废试剂瓶</w:t>
                  </w:r>
                </w:p>
              </w:tc>
              <w:tc>
                <w:tcPr>
                  <w:tcW w:w="575" w:type="pct"/>
                  <w:vMerge w:val="restart"/>
                  <w:tcBorders>
                    <w:tl2br w:val="nil"/>
                    <w:tr2bl w:val="nil"/>
                  </w:tcBorders>
                  <w:noWrap w:val="0"/>
                  <w:vAlign w:val="center"/>
                </w:tcPr>
                <w:p w14:paraId="7455843B">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eastAsia" w:ascii="Times New Roman" w:hAnsi="Times New Roman" w:eastAsia="宋体" w:cs="Times New Roman"/>
                      <w:b w:val="0"/>
                      <w:bCs w:val="0"/>
                      <w:color w:val="auto"/>
                      <w:kern w:val="2"/>
                      <w:sz w:val="21"/>
                      <w:szCs w:val="21"/>
                      <w:highlight w:val="none"/>
                      <w:vertAlign w:val="baseline"/>
                      <w:lang w:val="en-US" w:eastAsia="zh-CN" w:bidi="ar-SA"/>
                    </w:rPr>
                  </w:pPr>
                  <w:r>
                    <w:rPr>
                      <w:rFonts w:hint="eastAsia" w:ascii="Times New Roman" w:hAnsi="Times New Roman" w:eastAsia="宋体" w:cs="Times New Roman"/>
                      <w:b w:val="0"/>
                      <w:bCs w:val="0"/>
                      <w:color w:val="auto"/>
                      <w:kern w:val="2"/>
                      <w:sz w:val="21"/>
                      <w:szCs w:val="21"/>
                      <w:highlight w:val="none"/>
                      <w:vertAlign w:val="baseline"/>
                      <w:lang w:val="en-US" w:eastAsia="zh-CN" w:bidi="ar-SA"/>
                    </w:rPr>
                    <w:t>7.5</w:t>
                  </w:r>
                  <w:r>
                    <w:rPr>
                      <w:rFonts w:hint="default" w:ascii="Times New Roman" w:hAnsi="Times New Roman" w:eastAsia="宋体" w:cs="Times New Roman"/>
                      <w:b w:val="0"/>
                      <w:bCs w:val="0"/>
                      <w:color w:val="auto"/>
                      <w:kern w:val="2"/>
                      <w:sz w:val="21"/>
                      <w:szCs w:val="21"/>
                      <w:highlight w:val="none"/>
                      <w:vertAlign w:val="baseline"/>
                      <w:lang w:val="en-US" w:eastAsia="zh-CN" w:bidi="ar-SA"/>
                    </w:rPr>
                    <w:t>t/a</w:t>
                  </w:r>
                </w:p>
                <w:p w14:paraId="11EF487C">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p>
              </w:tc>
              <w:tc>
                <w:tcPr>
                  <w:tcW w:w="1516" w:type="pct"/>
                  <w:vMerge w:val="restart"/>
                  <w:tcBorders>
                    <w:tl2br w:val="nil"/>
                    <w:tr2bl w:val="nil"/>
                  </w:tcBorders>
                  <w:noWrap w:val="0"/>
                  <w:vAlign w:val="center"/>
                </w:tcPr>
                <w:p w14:paraId="62569258">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2"/>
                      <w:sz w:val="21"/>
                      <w:szCs w:val="21"/>
                      <w:highlight w:val="none"/>
                      <w:vertAlign w:val="baseline"/>
                      <w:lang w:val="en-US" w:eastAsia="zh-CN" w:bidi="ar-SA"/>
                    </w:rPr>
                    <w:t>危废间暂存，定期委托</w:t>
                  </w:r>
                  <w:r>
                    <w:rPr>
                      <w:rFonts w:hint="eastAsia"/>
                      <w:color w:val="000000"/>
                      <w:highlight w:val="none"/>
                    </w:rPr>
                    <w:t>北京鼎泰鹏宇环保科技有限公司</w:t>
                  </w:r>
                  <w:r>
                    <w:rPr>
                      <w:rFonts w:hint="eastAsia"/>
                      <w:color w:val="000000"/>
                      <w:highlight w:val="none"/>
                      <w:lang w:val="en-US" w:eastAsia="zh-CN"/>
                    </w:rPr>
                    <w:t>及北京鑫鑫顺通运输服务有限公司</w:t>
                  </w:r>
                  <w:r>
                    <w:rPr>
                      <w:rFonts w:hint="default" w:ascii="Times New Roman" w:hAnsi="Times New Roman" w:eastAsia="宋体" w:cs="Times New Roman"/>
                      <w:b w:val="0"/>
                      <w:bCs w:val="0"/>
                      <w:color w:val="auto"/>
                      <w:kern w:val="2"/>
                      <w:sz w:val="21"/>
                      <w:szCs w:val="21"/>
                      <w:highlight w:val="none"/>
                      <w:vertAlign w:val="baseline"/>
                      <w:lang w:val="en-US" w:eastAsia="zh-CN" w:bidi="ar-SA"/>
                    </w:rPr>
                    <w:t>处置</w:t>
                  </w:r>
                </w:p>
              </w:tc>
            </w:tr>
            <w:tr w14:paraId="2CDC53B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9" w:hRule="atLeast"/>
              </w:trPr>
              <w:tc>
                <w:tcPr>
                  <w:tcW w:w="619" w:type="pct"/>
                  <w:vMerge w:val="continue"/>
                  <w:tcBorders>
                    <w:tl2br w:val="nil"/>
                    <w:tr2bl w:val="nil"/>
                  </w:tcBorders>
                  <w:noWrap w:val="0"/>
                  <w:vAlign w:val="center"/>
                </w:tcPr>
                <w:p w14:paraId="24DD72E4">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p>
              </w:tc>
              <w:tc>
                <w:tcPr>
                  <w:tcW w:w="2288" w:type="pct"/>
                  <w:tcBorders>
                    <w:tl2br w:val="nil"/>
                    <w:tr2bl w:val="nil"/>
                  </w:tcBorders>
                  <w:shd w:val="clear" w:color="auto" w:fill="auto"/>
                  <w:noWrap w:val="0"/>
                  <w:vAlign w:val="center"/>
                </w:tcPr>
                <w:p w14:paraId="716910EE">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2"/>
                      <w:sz w:val="21"/>
                      <w:szCs w:val="21"/>
                      <w:highlight w:val="none"/>
                      <w:vertAlign w:val="baseline"/>
                      <w:lang w:val="en-US" w:eastAsia="zh-CN" w:bidi="ar-SA"/>
                    </w:rPr>
                    <w:t>废活性炭</w:t>
                  </w:r>
                </w:p>
              </w:tc>
              <w:tc>
                <w:tcPr>
                  <w:tcW w:w="575" w:type="pct"/>
                  <w:vMerge w:val="continue"/>
                  <w:tcBorders>
                    <w:tl2br w:val="nil"/>
                    <w:tr2bl w:val="nil"/>
                  </w:tcBorders>
                  <w:noWrap w:val="0"/>
                  <w:vAlign w:val="center"/>
                </w:tcPr>
                <w:p w14:paraId="379E8394">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p>
              </w:tc>
              <w:tc>
                <w:tcPr>
                  <w:tcW w:w="1516" w:type="pct"/>
                  <w:vMerge w:val="continue"/>
                  <w:tcBorders>
                    <w:tl2br w:val="nil"/>
                    <w:tr2bl w:val="nil"/>
                  </w:tcBorders>
                  <w:noWrap w:val="0"/>
                  <w:vAlign w:val="center"/>
                </w:tcPr>
                <w:p w14:paraId="74D9BFF2">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p>
              </w:tc>
            </w:tr>
            <w:tr w14:paraId="35D6CAD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9" w:hRule="atLeast"/>
              </w:trPr>
              <w:tc>
                <w:tcPr>
                  <w:tcW w:w="619" w:type="pct"/>
                  <w:vMerge w:val="continue"/>
                  <w:tcBorders>
                    <w:tl2br w:val="nil"/>
                    <w:tr2bl w:val="nil"/>
                  </w:tcBorders>
                  <w:noWrap w:val="0"/>
                  <w:vAlign w:val="center"/>
                </w:tcPr>
                <w:p w14:paraId="5B5553FD">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p>
              </w:tc>
              <w:tc>
                <w:tcPr>
                  <w:tcW w:w="2288" w:type="pct"/>
                  <w:tcBorders>
                    <w:tl2br w:val="nil"/>
                    <w:tr2bl w:val="nil"/>
                  </w:tcBorders>
                  <w:shd w:val="clear" w:color="auto" w:fill="auto"/>
                  <w:noWrap w:val="0"/>
                  <w:vAlign w:val="center"/>
                </w:tcPr>
                <w:p w14:paraId="10234DC5">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2"/>
                      <w:sz w:val="21"/>
                      <w:szCs w:val="21"/>
                      <w:highlight w:val="none"/>
                      <w:vertAlign w:val="baseline"/>
                      <w:lang w:val="en-US" w:eastAsia="zh-CN" w:bidi="ar-SA"/>
                    </w:rPr>
                    <w:t>一次性口罩、手套、废培养基废移液枪头等</w:t>
                  </w:r>
                </w:p>
              </w:tc>
              <w:tc>
                <w:tcPr>
                  <w:tcW w:w="575" w:type="pct"/>
                  <w:vMerge w:val="continue"/>
                  <w:tcBorders>
                    <w:tl2br w:val="nil"/>
                    <w:tr2bl w:val="nil"/>
                  </w:tcBorders>
                  <w:noWrap w:val="0"/>
                  <w:vAlign w:val="center"/>
                </w:tcPr>
                <w:p w14:paraId="04ED6AD4">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p>
              </w:tc>
              <w:tc>
                <w:tcPr>
                  <w:tcW w:w="1516" w:type="pct"/>
                  <w:vMerge w:val="continue"/>
                  <w:tcBorders>
                    <w:tl2br w:val="nil"/>
                    <w:tr2bl w:val="nil"/>
                  </w:tcBorders>
                  <w:noWrap w:val="0"/>
                  <w:vAlign w:val="center"/>
                </w:tcPr>
                <w:p w14:paraId="6BBAB624">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p>
              </w:tc>
            </w:tr>
            <w:tr w14:paraId="38278C3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9" w:hRule="atLeast"/>
              </w:trPr>
              <w:tc>
                <w:tcPr>
                  <w:tcW w:w="619" w:type="pct"/>
                  <w:vMerge w:val="continue"/>
                  <w:tcBorders>
                    <w:tl2br w:val="nil"/>
                    <w:tr2bl w:val="nil"/>
                  </w:tcBorders>
                  <w:noWrap w:val="0"/>
                  <w:vAlign w:val="center"/>
                </w:tcPr>
                <w:p w14:paraId="4006E3A2">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p>
              </w:tc>
              <w:tc>
                <w:tcPr>
                  <w:tcW w:w="2288" w:type="pct"/>
                  <w:tcBorders>
                    <w:tl2br w:val="nil"/>
                    <w:tr2bl w:val="nil"/>
                  </w:tcBorders>
                  <w:shd w:val="clear" w:color="auto" w:fill="auto"/>
                  <w:noWrap w:val="0"/>
                  <w:vAlign w:val="center"/>
                </w:tcPr>
                <w:p w14:paraId="605AEA3E">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2"/>
                      <w:sz w:val="21"/>
                      <w:szCs w:val="21"/>
                      <w:highlight w:val="none"/>
                      <w:vertAlign w:val="baseline"/>
                      <w:lang w:val="en-US" w:eastAsia="zh-CN" w:bidi="ar-SA"/>
                    </w:rPr>
                    <w:t>检测废水</w:t>
                  </w:r>
                  <w:r>
                    <w:rPr>
                      <w:rFonts w:hint="eastAsia" w:ascii="Times New Roman" w:hAnsi="Times New Roman" w:eastAsia="宋体" w:cs="Times New Roman"/>
                      <w:b w:val="0"/>
                      <w:bCs w:val="0"/>
                      <w:color w:val="auto"/>
                      <w:kern w:val="2"/>
                      <w:sz w:val="21"/>
                      <w:szCs w:val="21"/>
                      <w:highlight w:val="none"/>
                      <w:vertAlign w:val="baseline"/>
                      <w:lang w:val="en-US" w:eastAsia="zh-CN" w:bidi="ar-SA"/>
                    </w:rPr>
                    <w:t>（</w:t>
                  </w:r>
                  <w:r>
                    <w:rPr>
                      <w:rFonts w:hint="default" w:ascii="Times New Roman" w:hAnsi="Times New Roman" w:eastAsia="宋体" w:cs="Times New Roman"/>
                      <w:b w:val="0"/>
                      <w:bCs w:val="0"/>
                      <w:color w:val="auto"/>
                      <w:kern w:val="2"/>
                      <w:sz w:val="21"/>
                      <w:szCs w:val="21"/>
                      <w:highlight w:val="none"/>
                      <w:vertAlign w:val="baseline"/>
                      <w:lang w:val="en-US" w:eastAsia="zh-CN" w:bidi="ar-SA"/>
                    </w:rPr>
                    <w:t>包括仪器清洗用水</w:t>
                  </w:r>
                  <w:r>
                    <w:rPr>
                      <w:rFonts w:hint="eastAsia" w:ascii="Times New Roman" w:hAnsi="Times New Roman" w:eastAsia="宋体" w:cs="Times New Roman"/>
                      <w:b w:val="0"/>
                      <w:bCs w:val="0"/>
                      <w:color w:val="auto"/>
                      <w:kern w:val="2"/>
                      <w:sz w:val="21"/>
                      <w:szCs w:val="21"/>
                      <w:highlight w:val="none"/>
                      <w:vertAlign w:val="baseline"/>
                      <w:lang w:val="en-US" w:eastAsia="zh-CN" w:bidi="ar-SA"/>
                    </w:rPr>
                    <w:t>）</w:t>
                  </w:r>
                </w:p>
              </w:tc>
              <w:tc>
                <w:tcPr>
                  <w:tcW w:w="575" w:type="pct"/>
                  <w:tcBorders>
                    <w:tl2br w:val="nil"/>
                    <w:tr2bl w:val="nil"/>
                  </w:tcBorders>
                  <w:noWrap w:val="0"/>
                  <w:vAlign w:val="center"/>
                </w:tcPr>
                <w:p w14:paraId="3C99D0CF">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eastAsia" w:ascii="Times New Roman" w:hAnsi="Times New Roman" w:eastAsia="宋体" w:cs="Times New Roman"/>
                      <w:b w:val="0"/>
                      <w:bCs w:val="0"/>
                      <w:color w:val="auto"/>
                      <w:kern w:val="2"/>
                      <w:sz w:val="21"/>
                      <w:szCs w:val="21"/>
                      <w:highlight w:val="none"/>
                      <w:vertAlign w:val="baseline"/>
                      <w:lang w:val="en-US" w:eastAsia="zh-CN" w:bidi="ar-SA"/>
                    </w:rPr>
                  </w:pPr>
                  <w:r>
                    <w:rPr>
                      <w:rFonts w:hint="eastAsia" w:ascii="Times New Roman" w:hAnsi="Times New Roman" w:eastAsia="宋体" w:cs="Times New Roman"/>
                      <w:b w:val="0"/>
                      <w:bCs w:val="0"/>
                      <w:color w:val="auto"/>
                      <w:kern w:val="2"/>
                      <w:sz w:val="21"/>
                      <w:szCs w:val="21"/>
                      <w:highlight w:val="none"/>
                      <w:vertAlign w:val="baseline"/>
                      <w:lang w:val="en-US" w:eastAsia="zh-CN" w:bidi="ar-SA"/>
                    </w:rPr>
                    <w:t>7.8</w:t>
                  </w:r>
                  <w:r>
                    <w:rPr>
                      <w:rFonts w:hint="default" w:ascii="Times New Roman" w:hAnsi="Times New Roman" w:eastAsia="宋体" w:cs="Times New Roman"/>
                      <w:b w:val="0"/>
                      <w:bCs w:val="0"/>
                      <w:color w:val="auto"/>
                      <w:kern w:val="2"/>
                      <w:sz w:val="21"/>
                      <w:szCs w:val="21"/>
                      <w:highlight w:val="none"/>
                      <w:vertAlign w:val="baseline"/>
                      <w:lang w:val="en-US" w:eastAsia="zh-CN" w:bidi="ar-SA"/>
                    </w:rPr>
                    <w:t>t/a</w:t>
                  </w:r>
                </w:p>
              </w:tc>
              <w:tc>
                <w:tcPr>
                  <w:tcW w:w="1516" w:type="pct"/>
                  <w:vMerge w:val="continue"/>
                  <w:tcBorders>
                    <w:tl2br w:val="nil"/>
                    <w:tr2bl w:val="nil"/>
                  </w:tcBorders>
                  <w:noWrap w:val="0"/>
                  <w:vAlign w:val="center"/>
                </w:tcPr>
                <w:p w14:paraId="1EF11B4E">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p>
              </w:tc>
            </w:tr>
            <w:tr w14:paraId="248B676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2" w:hRule="atLeast"/>
              </w:trPr>
              <w:tc>
                <w:tcPr>
                  <w:tcW w:w="619" w:type="pct"/>
                  <w:tcBorders>
                    <w:tl2br w:val="nil"/>
                    <w:tr2bl w:val="nil"/>
                  </w:tcBorders>
                  <w:noWrap w:val="0"/>
                  <w:vAlign w:val="center"/>
                </w:tcPr>
                <w:p w14:paraId="7DE54121">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2"/>
                      <w:sz w:val="21"/>
                      <w:szCs w:val="21"/>
                      <w:highlight w:val="none"/>
                      <w:vertAlign w:val="baseline"/>
                      <w:lang w:val="en-US" w:eastAsia="zh-CN" w:bidi="ar-SA"/>
                    </w:rPr>
                    <w:t>一般固废</w:t>
                  </w:r>
                </w:p>
              </w:tc>
              <w:tc>
                <w:tcPr>
                  <w:tcW w:w="2288" w:type="pct"/>
                  <w:tcBorders>
                    <w:tl2br w:val="nil"/>
                    <w:tr2bl w:val="nil"/>
                  </w:tcBorders>
                  <w:shd w:val="clear" w:color="auto" w:fill="auto"/>
                  <w:noWrap w:val="0"/>
                  <w:vAlign w:val="center"/>
                </w:tcPr>
                <w:p w14:paraId="10C7FDAF">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2"/>
                      <w:sz w:val="21"/>
                      <w:szCs w:val="21"/>
                      <w:highlight w:val="none"/>
                      <w:vertAlign w:val="baseline"/>
                      <w:lang w:val="en-US" w:eastAsia="zh-CN" w:bidi="ar-SA"/>
                    </w:rPr>
                    <w:t>各种废弃的包装材料</w:t>
                  </w:r>
                </w:p>
              </w:tc>
              <w:tc>
                <w:tcPr>
                  <w:tcW w:w="575" w:type="pct"/>
                  <w:tcBorders>
                    <w:tl2br w:val="nil"/>
                    <w:tr2bl w:val="nil"/>
                  </w:tcBorders>
                  <w:noWrap w:val="0"/>
                  <w:vAlign w:val="center"/>
                </w:tcPr>
                <w:p w14:paraId="79A14694">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eastAsia" w:ascii="Times New Roman" w:hAnsi="Times New Roman" w:eastAsia="宋体" w:cs="Times New Roman"/>
                      <w:b w:val="0"/>
                      <w:bCs w:val="0"/>
                      <w:color w:val="auto"/>
                      <w:kern w:val="2"/>
                      <w:sz w:val="21"/>
                      <w:szCs w:val="21"/>
                      <w:highlight w:val="none"/>
                      <w:vertAlign w:val="baseline"/>
                      <w:lang w:val="en-US" w:eastAsia="zh-CN" w:bidi="ar-SA"/>
                    </w:rPr>
                    <w:t>2</w:t>
                  </w:r>
                  <w:r>
                    <w:rPr>
                      <w:rFonts w:hint="default" w:ascii="Times New Roman" w:hAnsi="Times New Roman" w:eastAsia="宋体" w:cs="Times New Roman"/>
                      <w:b w:val="0"/>
                      <w:bCs w:val="0"/>
                      <w:color w:val="auto"/>
                      <w:kern w:val="2"/>
                      <w:sz w:val="21"/>
                      <w:szCs w:val="21"/>
                      <w:highlight w:val="none"/>
                      <w:vertAlign w:val="baseline"/>
                      <w:lang w:val="en-US" w:eastAsia="zh-CN" w:bidi="ar-SA"/>
                    </w:rPr>
                    <w:t>t/a</w:t>
                  </w:r>
                </w:p>
              </w:tc>
              <w:tc>
                <w:tcPr>
                  <w:tcW w:w="1516" w:type="pct"/>
                  <w:tcBorders>
                    <w:tl2br w:val="nil"/>
                    <w:tr2bl w:val="nil"/>
                  </w:tcBorders>
                  <w:noWrap w:val="0"/>
                  <w:vAlign w:val="center"/>
                </w:tcPr>
                <w:p w14:paraId="6066F10A">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eastAsia" w:ascii="Times New Roman" w:hAnsi="Times New Roman" w:eastAsia="宋体" w:cs="Times New Roman"/>
                      <w:b w:val="0"/>
                      <w:bCs w:val="0"/>
                      <w:color w:val="auto"/>
                      <w:kern w:val="2"/>
                      <w:sz w:val="21"/>
                      <w:szCs w:val="21"/>
                      <w:highlight w:val="none"/>
                      <w:vertAlign w:val="baseline"/>
                      <w:lang w:val="en-US" w:eastAsia="zh-CN" w:bidi="ar-SA"/>
                    </w:rPr>
                    <w:t>转运至园区垃圾站，由物业委托环卫部门清运</w:t>
                  </w:r>
                </w:p>
              </w:tc>
            </w:tr>
            <w:tr w14:paraId="68674D9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8" w:hRule="atLeast"/>
              </w:trPr>
              <w:tc>
                <w:tcPr>
                  <w:tcW w:w="619" w:type="pct"/>
                  <w:tcBorders>
                    <w:tl2br w:val="nil"/>
                    <w:tr2bl w:val="nil"/>
                  </w:tcBorders>
                  <w:noWrap w:val="0"/>
                  <w:vAlign w:val="center"/>
                </w:tcPr>
                <w:p w14:paraId="01D86C1A">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2"/>
                      <w:sz w:val="21"/>
                      <w:szCs w:val="21"/>
                      <w:highlight w:val="none"/>
                      <w:vertAlign w:val="baseline"/>
                      <w:lang w:val="en-US" w:eastAsia="zh-CN" w:bidi="ar-SA"/>
                    </w:rPr>
                    <w:t>生活垃圾</w:t>
                  </w:r>
                </w:p>
              </w:tc>
              <w:tc>
                <w:tcPr>
                  <w:tcW w:w="2288" w:type="pct"/>
                  <w:tcBorders>
                    <w:tl2br w:val="nil"/>
                    <w:tr2bl w:val="nil"/>
                  </w:tcBorders>
                  <w:shd w:val="clear" w:color="auto" w:fill="auto"/>
                  <w:noWrap w:val="0"/>
                  <w:vAlign w:val="center"/>
                </w:tcPr>
                <w:p w14:paraId="3D5E3D84">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2"/>
                      <w:sz w:val="21"/>
                      <w:szCs w:val="21"/>
                      <w:highlight w:val="none"/>
                      <w:vertAlign w:val="baseline"/>
                      <w:lang w:val="en-US" w:eastAsia="zh-CN" w:bidi="ar-SA"/>
                    </w:rPr>
                    <w:t>生活垃圾</w:t>
                  </w:r>
                </w:p>
              </w:tc>
              <w:tc>
                <w:tcPr>
                  <w:tcW w:w="575" w:type="pct"/>
                  <w:tcBorders>
                    <w:tl2br w:val="nil"/>
                    <w:tr2bl w:val="nil"/>
                  </w:tcBorders>
                  <w:shd w:val="clear" w:color="auto" w:fill="auto"/>
                  <w:noWrap w:val="0"/>
                  <w:vAlign w:val="center"/>
                </w:tcPr>
                <w:p w14:paraId="6AC87482">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eastAsia" w:ascii="Times New Roman" w:hAnsi="Times New Roman" w:eastAsia="宋体" w:cs="Times New Roman"/>
                      <w:b w:val="0"/>
                      <w:bCs w:val="0"/>
                      <w:color w:val="auto"/>
                      <w:kern w:val="2"/>
                      <w:sz w:val="21"/>
                      <w:szCs w:val="21"/>
                      <w:highlight w:val="none"/>
                      <w:vertAlign w:val="baseline"/>
                      <w:lang w:val="en-US" w:eastAsia="zh-CN" w:bidi="ar-SA"/>
                    </w:rPr>
                    <w:t>6.5</w:t>
                  </w:r>
                  <w:r>
                    <w:rPr>
                      <w:rFonts w:hint="default" w:ascii="Times New Roman" w:hAnsi="Times New Roman" w:eastAsia="宋体" w:cs="Times New Roman"/>
                      <w:b w:val="0"/>
                      <w:bCs w:val="0"/>
                      <w:color w:val="auto"/>
                      <w:kern w:val="2"/>
                      <w:sz w:val="21"/>
                      <w:szCs w:val="21"/>
                      <w:highlight w:val="none"/>
                      <w:vertAlign w:val="baseline"/>
                      <w:lang w:val="en-US" w:eastAsia="zh-CN" w:bidi="ar-SA"/>
                    </w:rPr>
                    <w:t>t/a</w:t>
                  </w:r>
                </w:p>
              </w:tc>
              <w:tc>
                <w:tcPr>
                  <w:tcW w:w="1516" w:type="pct"/>
                  <w:tcBorders>
                    <w:tl2br w:val="nil"/>
                    <w:tr2bl w:val="nil"/>
                  </w:tcBorders>
                  <w:noWrap w:val="0"/>
                  <w:vAlign w:val="center"/>
                </w:tcPr>
                <w:p w14:paraId="7D619C1C">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eastAsia" w:ascii="Times New Roman" w:hAnsi="Times New Roman" w:eastAsia="宋体" w:cs="Times New Roman"/>
                      <w:b w:val="0"/>
                      <w:bCs w:val="0"/>
                      <w:color w:val="auto"/>
                      <w:kern w:val="2"/>
                      <w:sz w:val="21"/>
                      <w:szCs w:val="21"/>
                      <w:highlight w:val="none"/>
                      <w:vertAlign w:val="baseline"/>
                      <w:lang w:val="en-US" w:eastAsia="zh-CN" w:bidi="ar-SA"/>
                    </w:rPr>
                    <w:t>转运至园区垃圾站，由物业委托环卫部门清运</w:t>
                  </w:r>
                </w:p>
              </w:tc>
            </w:tr>
          </w:tbl>
          <w:p w14:paraId="387E1426">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lang w:val="en-US" w:eastAsia="zh-CN"/>
              </w:rPr>
            </w:pPr>
          </w:p>
          <w:tbl>
            <w:tblPr>
              <w:tblStyle w:val="3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30"/>
              <w:gridCol w:w="4530"/>
            </w:tblGrid>
            <w:tr w14:paraId="2F291B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257" w:hRule="atLeast"/>
              </w:trPr>
              <w:tc>
                <w:tcPr>
                  <w:tcW w:w="4530" w:type="dxa"/>
                  <w:vAlign w:val="center"/>
                </w:tcPr>
                <w:p w14:paraId="4A68EE10">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highlight w:val="yellow"/>
                      <w:vertAlign w:val="baseline"/>
                      <w:lang w:val="en-US" w:eastAsia="zh-CN"/>
                    </w:rPr>
                  </w:pPr>
                  <w:r>
                    <w:drawing>
                      <wp:inline distT="0" distB="0" distL="114300" distR="114300">
                        <wp:extent cx="2446655" cy="1903095"/>
                        <wp:effectExtent l="0" t="0" r="10795"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9"/>
                                <a:stretch>
                                  <a:fillRect/>
                                </a:stretch>
                              </pic:blipFill>
                              <pic:spPr>
                                <a:xfrm>
                                  <a:off x="0" y="0"/>
                                  <a:ext cx="2446655" cy="1903095"/>
                                </a:xfrm>
                                <a:prstGeom prst="rect">
                                  <a:avLst/>
                                </a:prstGeom>
                                <a:noFill/>
                                <a:ln>
                                  <a:noFill/>
                                </a:ln>
                              </pic:spPr>
                            </pic:pic>
                          </a:graphicData>
                        </a:graphic>
                      </wp:inline>
                    </w:drawing>
                  </w:r>
                </w:p>
              </w:tc>
              <w:tc>
                <w:tcPr>
                  <w:tcW w:w="4530" w:type="dxa"/>
                  <w:vAlign w:val="center"/>
                </w:tcPr>
                <w:p w14:paraId="7EDE6DAA">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highlight w:val="yellow"/>
                      <w:vertAlign w:val="baseline"/>
                      <w:lang w:val="en-US" w:eastAsia="zh-CN"/>
                    </w:rPr>
                  </w:pPr>
                  <w:r>
                    <w:drawing>
                      <wp:inline distT="0" distB="0" distL="114300" distR="114300">
                        <wp:extent cx="2490470" cy="1875155"/>
                        <wp:effectExtent l="0" t="0" r="5080" b="1079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20"/>
                                <a:stretch>
                                  <a:fillRect/>
                                </a:stretch>
                              </pic:blipFill>
                              <pic:spPr>
                                <a:xfrm>
                                  <a:off x="0" y="0"/>
                                  <a:ext cx="2490470" cy="1875155"/>
                                </a:xfrm>
                                <a:prstGeom prst="rect">
                                  <a:avLst/>
                                </a:prstGeom>
                                <a:noFill/>
                                <a:ln>
                                  <a:noFill/>
                                </a:ln>
                              </pic:spPr>
                            </pic:pic>
                          </a:graphicData>
                        </a:graphic>
                      </wp:inline>
                    </w:drawing>
                  </w:r>
                </w:p>
              </w:tc>
            </w:tr>
            <w:tr w14:paraId="125FA0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2" w:hRule="atLeast"/>
              </w:trPr>
              <w:tc>
                <w:tcPr>
                  <w:tcW w:w="9060" w:type="dxa"/>
                  <w:gridSpan w:val="2"/>
                  <w:vAlign w:val="center"/>
                </w:tcPr>
                <w:p w14:paraId="5C9F0AD1">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highlight w:val="yellow"/>
                      <w:vertAlign w:val="baseline"/>
                      <w:lang w:val="en-US" w:eastAsia="zh-CN"/>
                    </w:rPr>
                  </w:pPr>
                  <w:r>
                    <w:rPr>
                      <w:rFonts w:hint="eastAsia"/>
                      <w:highlight w:val="none"/>
                      <w:vertAlign w:val="baseline"/>
                      <w:lang w:val="en-US" w:eastAsia="zh-CN"/>
                    </w:rPr>
                    <w:t>危废暂存间</w:t>
                  </w:r>
                </w:p>
              </w:tc>
            </w:tr>
          </w:tbl>
          <w:p w14:paraId="23983C75">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lang w:val="en-US" w:eastAsia="zh-CN"/>
              </w:rPr>
            </w:pPr>
          </w:p>
          <w:p w14:paraId="3EB7FDD6">
            <w:pPr>
              <w:keepNext w:val="0"/>
              <w:keepLines w:val="0"/>
              <w:pageBreakBefore w:val="0"/>
              <w:widowControl w:val="0"/>
              <w:kinsoku/>
              <w:wordWrap/>
              <w:overflowPunct/>
              <w:topLinePunct w:val="0"/>
              <w:autoSpaceDE/>
              <w:autoSpaceDN/>
              <w:bidi w:val="0"/>
              <w:adjustRightInd/>
              <w:snapToGrid w:val="0"/>
              <w:spacing w:line="360" w:lineRule="auto"/>
              <w:textAlignment w:val="auto"/>
              <w:rPr>
                <w:rFonts w:hint="eastAsia" w:ascii="Times New Roman" w:hAnsi="Times New Roman" w:cs="Times New Roman"/>
                <w:b/>
                <w:bCs/>
                <w:color w:val="auto"/>
                <w:sz w:val="24"/>
                <w:szCs w:val="24"/>
                <w:highlight w:val="none"/>
                <w:lang w:val="en-US" w:eastAsia="zh-CN"/>
              </w:rPr>
            </w:pPr>
            <w:r>
              <w:rPr>
                <w:rFonts w:hint="eastAsia" w:ascii="Times New Roman" w:hAnsi="Times New Roman" w:cs="Times New Roman"/>
                <w:b/>
                <w:bCs/>
                <w:color w:val="auto"/>
                <w:sz w:val="24"/>
                <w:szCs w:val="24"/>
                <w:highlight w:val="none"/>
                <w:lang w:val="en-US" w:eastAsia="zh-CN"/>
              </w:rPr>
              <w:t>五、其他环保措施</w:t>
            </w:r>
          </w:p>
          <w:p w14:paraId="428D3F44">
            <w:pPr>
              <w:spacing w:line="360" w:lineRule="auto"/>
              <w:ind w:firstLine="480" w:firstLineChars="200"/>
              <w:rPr>
                <w:rFonts w:hint="default" w:ascii="Times New Roman" w:hAnsi="Times New Roman" w:cs="Times New Roman"/>
                <w:sz w:val="24"/>
                <w:szCs w:val="28"/>
                <w:lang w:val="en-US" w:eastAsia="zh-CN"/>
              </w:rPr>
            </w:pPr>
            <w:r>
              <w:rPr>
                <w:rFonts w:hint="eastAsia" w:ascii="Times New Roman" w:hAnsi="Times New Roman" w:cs="Times New Roman"/>
                <w:sz w:val="24"/>
                <w:szCs w:val="28"/>
                <w:lang w:val="en-US" w:eastAsia="zh-CN"/>
              </w:rPr>
              <w:t>（1）排污口规范化</w:t>
            </w:r>
          </w:p>
          <w:p w14:paraId="428EBF7A">
            <w:pPr>
              <w:spacing w:line="360" w:lineRule="auto"/>
              <w:ind w:firstLine="480" w:firstLineChars="200"/>
              <w:rPr>
                <w:rFonts w:hint="eastAsia" w:ascii="Times New Roman" w:hAnsi="Times New Roman" w:cs="Times New Roman"/>
                <w:sz w:val="24"/>
                <w:szCs w:val="28"/>
                <w:lang w:val="zh-TW" w:eastAsia="zh-CN"/>
              </w:rPr>
            </w:pPr>
            <w:r>
              <w:rPr>
                <w:rFonts w:hint="default" w:ascii="Times New Roman" w:hAnsi="Times New Roman" w:cs="Times New Roman"/>
                <w:sz w:val="24"/>
                <w:szCs w:val="28"/>
                <w:lang w:val="zh-TW" w:eastAsia="zh-CN"/>
              </w:rPr>
              <w:t>本项目</w:t>
            </w:r>
            <w:r>
              <w:rPr>
                <w:rFonts w:hint="eastAsia" w:ascii="Times New Roman" w:hAnsi="Times New Roman" w:cs="Times New Roman"/>
                <w:sz w:val="24"/>
                <w:szCs w:val="28"/>
                <w:lang w:val="zh-TW" w:eastAsia="zh-CN"/>
              </w:rPr>
              <w:t>废气、废水排口已按规范落实</w:t>
            </w:r>
            <w:r>
              <w:rPr>
                <w:rFonts w:hint="default" w:ascii="Times New Roman" w:hAnsi="Times New Roman" w:cs="Times New Roman"/>
                <w:sz w:val="24"/>
                <w:szCs w:val="28"/>
                <w:lang w:val="zh-TW" w:eastAsia="zh-CN"/>
              </w:rPr>
              <w:t>排污口规范化</w:t>
            </w:r>
            <w:r>
              <w:rPr>
                <w:rFonts w:hint="eastAsia" w:ascii="Times New Roman" w:hAnsi="Times New Roman" w:cs="Times New Roman"/>
                <w:sz w:val="24"/>
                <w:szCs w:val="28"/>
                <w:lang w:val="zh-TW" w:eastAsia="zh-CN"/>
              </w:rPr>
              <w:t>；</w:t>
            </w:r>
            <w:r>
              <w:rPr>
                <w:rFonts w:hint="eastAsia" w:ascii="Times New Roman" w:hAnsi="Times New Roman" w:cs="Times New Roman"/>
                <w:sz w:val="24"/>
                <w:szCs w:val="28"/>
                <w:lang w:val="en-US" w:eastAsia="zh-CN"/>
              </w:rPr>
              <w:t>危险</w:t>
            </w:r>
            <w:r>
              <w:rPr>
                <w:rFonts w:hint="eastAsia" w:ascii="Times New Roman" w:hAnsi="Times New Roman" w:cs="Times New Roman"/>
                <w:sz w:val="24"/>
                <w:szCs w:val="28"/>
                <w:lang w:val="zh-TW" w:eastAsia="zh-CN"/>
              </w:rPr>
              <w:t>废物暂存间设置相关标识。</w:t>
            </w:r>
          </w:p>
          <w:p w14:paraId="1E963D43">
            <w:pPr>
              <w:spacing w:line="360" w:lineRule="auto"/>
              <w:ind w:firstLine="480" w:firstLineChars="200"/>
              <w:rPr>
                <w:rFonts w:hint="eastAsia" w:ascii="Times New Roman" w:hAnsi="Times New Roman" w:cs="Times New Roman"/>
                <w:sz w:val="24"/>
                <w:szCs w:val="28"/>
                <w:lang w:val="en-US" w:eastAsia="zh-CN"/>
              </w:rPr>
            </w:pPr>
            <w:r>
              <w:rPr>
                <w:rFonts w:hint="eastAsia" w:ascii="Times New Roman" w:hAnsi="Times New Roman" w:cs="Times New Roman"/>
                <w:sz w:val="24"/>
                <w:szCs w:val="28"/>
                <w:lang w:val="en-US" w:eastAsia="zh-CN"/>
              </w:rPr>
              <w:t>（2）环境管理</w:t>
            </w:r>
          </w:p>
          <w:p w14:paraId="2672BE17">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cs="Times New Roman"/>
                <w:b/>
                <w:bCs/>
                <w:color w:val="auto"/>
                <w:sz w:val="24"/>
                <w:szCs w:val="24"/>
                <w:highlight w:val="none"/>
                <w:lang w:val="en-US" w:eastAsia="zh-CN"/>
              </w:rPr>
            </w:pPr>
            <w:r>
              <w:rPr>
                <w:rFonts w:hint="eastAsia" w:ascii="Times New Roman" w:hAnsi="Times New Roman" w:cs="Times New Roman"/>
                <w:sz w:val="24"/>
                <w:szCs w:val="28"/>
                <w:lang w:val="en-US" w:eastAsia="zh-CN"/>
              </w:rPr>
              <w:t>建设单位内部建立环境管理体系，建立环保管理制度，设EHS管理专员负责企业环保管理。</w:t>
            </w:r>
          </w:p>
          <w:p w14:paraId="547CE0A2">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default" w:ascii="Times New Roman" w:hAnsi="Times New Roman" w:cs="Times New Roman"/>
                <w:b/>
                <w:bCs/>
                <w:color w:val="auto"/>
                <w:sz w:val="24"/>
                <w:szCs w:val="24"/>
                <w:highlight w:val="none"/>
                <w:lang w:val="en-US" w:eastAsia="zh-CN"/>
              </w:rPr>
            </w:pPr>
          </w:p>
          <w:p w14:paraId="6B57591F">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default" w:ascii="Times New Roman" w:hAnsi="Times New Roman" w:cs="Times New Roman"/>
                <w:b/>
                <w:bCs/>
                <w:color w:val="auto"/>
                <w:sz w:val="24"/>
                <w:szCs w:val="24"/>
                <w:highlight w:val="none"/>
                <w:lang w:val="en-US" w:eastAsia="zh-CN"/>
              </w:rPr>
            </w:pPr>
          </w:p>
          <w:p w14:paraId="7759C372">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default" w:ascii="Times New Roman" w:hAnsi="Times New Roman" w:cs="Times New Roman"/>
                <w:b/>
                <w:bCs/>
                <w:color w:val="auto"/>
                <w:sz w:val="24"/>
                <w:szCs w:val="24"/>
                <w:highlight w:val="none"/>
                <w:lang w:val="en-US" w:eastAsia="zh-CN"/>
              </w:rPr>
            </w:pPr>
          </w:p>
          <w:p w14:paraId="21740DB8">
            <w:pPr>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2"/>
                <w:sz w:val="24"/>
                <w:szCs w:val="24"/>
                <w:highlight w:val="none"/>
                <w:lang w:val="en-US" w:eastAsia="zh-CN" w:bidi="ar-SA"/>
              </w:rPr>
            </w:pPr>
          </w:p>
          <w:p w14:paraId="0D07BBB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color w:val="auto"/>
                <w:highlight w:val="none"/>
                <w:vertAlign w:val="baseline"/>
              </w:rPr>
            </w:pPr>
          </w:p>
          <w:p w14:paraId="18AB784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color w:val="auto"/>
                <w:highlight w:val="none"/>
                <w:vertAlign w:val="baseline"/>
              </w:rPr>
            </w:pPr>
          </w:p>
          <w:p w14:paraId="1786D1D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color w:val="auto"/>
                <w:highlight w:val="none"/>
                <w:vertAlign w:val="baseline"/>
              </w:rPr>
            </w:pPr>
          </w:p>
          <w:p w14:paraId="1536327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color w:val="auto"/>
                <w:highlight w:val="none"/>
                <w:vertAlign w:val="baseline"/>
              </w:rPr>
            </w:pPr>
          </w:p>
          <w:p w14:paraId="797C6D9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color w:val="auto"/>
                <w:highlight w:val="none"/>
                <w:vertAlign w:val="baseline"/>
              </w:rPr>
            </w:pPr>
          </w:p>
          <w:p w14:paraId="51BB7E4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color w:val="auto"/>
                <w:highlight w:val="none"/>
                <w:vertAlign w:val="baseline"/>
              </w:rPr>
            </w:pPr>
          </w:p>
          <w:p w14:paraId="378EFED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color w:val="auto"/>
                <w:highlight w:val="none"/>
                <w:vertAlign w:val="baseline"/>
              </w:rPr>
            </w:pPr>
          </w:p>
          <w:p w14:paraId="4984A19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color w:val="auto"/>
                <w:highlight w:val="none"/>
                <w:vertAlign w:val="baseline"/>
              </w:rPr>
            </w:pPr>
          </w:p>
          <w:p w14:paraId="2E90223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color w:val="auto"/>
                <w:highlight w:val="none"/>
                <w:vertAlign w:val="baseline"/>
              </w:rPr>
            </w:pPr>
          </w:p>
          <w:p w14:paraId="66B6019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color w:val="auto"/>
                <w:highlight w:val="none"/>
                <w:vertAlign w:val="baseline"/>
              </w:rPr>
            </w:pPr>
          </w:p>
          <w:p w14:paraId="4E48886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color w:val="auto"/>
                <w:highlight w:val="none"/>
                <w:vertAlign w:val="baseline"/>
              </w:rPr>
            </w:pPr>
          </w:p>
          <w:p w14:paraId="0B9B178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color w:val="auto"/>
                <w:highlight w:val="none"/>
                <w:vertAlign w:val="baseline"/>
              </w:rPr>
            </w:pPr>
          </w:p>
          <w:p w14:paraId="23E4D7C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color w:val="auto"/>
                <w:highlight w:val="none"/>
                <w:vertAlign w:val="baseline"/>
              </w:rPr>
            </w:pPr>
          </w:p>
          <w:p w14:paraId="2FD132B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color w:val="auto"/>
                <w:highlight w:val="none"/>
                <w:vertAlign w:val="baseline"/>
              </w:rPr>
            </w:pPr>
          </w:p>
          <w:p w14:paraId="6E0DEB7E">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cs="Times New Roman"/>
                <w:color w:val="auto"/>
                <w:highlight w:val="none"/>
                <w:vertAlign w:val="baseline"/>
              </w:rPr>
            </w:pPr>
          </w:p>
        </w:tc>
      </w:tr>
    </w:tbl>
    <w:p w14:paraId="4572CDB4">
      <w:pPr>
        <w:pStyle w:val="2"/>
        <w:rPr>
          <w:rFonts w:hint="eastAsia" w:ascii="Times New Roman" w:hAnsi="Times New Roman" w:eastAsia="宋体" w:cs="Times New Roman"/>
          <w:b/>
          <w:bCs w:val="0"/>
          <w:sz w:val="28"/>
          <w:szCs w:val="28"/>
          <w:lang w:val="en-US" w:eastAsia="zh-CN"/>
        </w:rPr>
      </w:pPr>
      <w:r>
        <w:rPr>
          <w:rFonts w:hint="default" w:ascii="Times New Roman" w:hAnsi="Times New Roman" w:eastAsia="宋体" w:cs="Times New Roman"/>
          <w:b/>
          <w:bCs w:val="0"/>
          <w:sz w:val="28"/>
          <w:szCs w:val="28"/>
        </w:rPr>
        <w:t>表</w:t>
      </w:r>
      <w:r>
        <w:rPr>
          <w:rFonts w:hint="eastAsia" w:ascii="Times New Roman" w:hAnsi="Times New Roman" w:eastAsia="宋体" w:cs="Times New Roman"/>
          <w:b/>
          <w:bCs w:val="0"/>
          <w:sz w:val="28"/>
          <w:szCs w:val="28"/>
          <w:lang w:val="en-US" w:eastAsia="zh-CN"/>
        </w:rPr>
        <w:t>四</w:t>
      </w:r>
    </w:p>
    <w:tbl>
      <w:tblPr>
        <w:tblStyle w:val="29"/>
        <w:tblW w:w="4813" w:type="pct"/>
        <w:jc w:val="center"/>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autofit"/>
        <w:tblCellMar>
          <w:top w:w="0" w:type="dxa"/>
          <w:left w:w="108" w:type="dxa"/>
          <w:bottom w:w="0" w:type="dxa"/>
          <w:right w:w="108" w:type="dxa"/>
        </w:tblCellMar>
      </w:tblPr>
      <w:tblGrid>
        <w:gridCol w:w="8940"/>
      </w:tblGrid>
      <w:tr w14:paraId="545CC889">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14162" w:hRule="atLeast"/>
          <w:jc w:val="center"/>
        </w:trPr>
        <w:tc>
          <w:tcPr>
            <w:tcW w:w="5000" w:type="pct"/>
            <w:vAlign w:val="center"/>
          </w:tcPr>
          <w:p w14:paraId="2DF278A7">
            <w:pPr>
              <w:adjustRightInd w:val="0"/>
              <w:snapToGrid w:val="0"/>
              <w:spacing w:before="120" w:beforeLines="50" w:line="360" w:lineRule="auto"/>
              <w:rPr>
                <w:rFonts w:hint="default" w:ascii="Times New Roman" w:hAnsi="Times New Roman" w:cs="Times New Roman"/>
                <w:b/>
                <w:bCs/>
                <w:sz w:val="24"/>
                <w:szCs w:val="28"/>
              </w:rPr>
            </w:pPr>
            <w:r>
              <w:rPr>
                <w:rFonts w:hint="eastAsia"/>
                <w:b/>
                <w:bCs/>
                <w:sz w:val="24"/>
                <w:lang w:val="en-US" w:eastAsia="zh-CN"/>
              </w:rPr>
              <w:t>建</w:t>
            </w:r>
            <w:r>
              <w:rPr>
                <w:rFonts w:hint="default" w:ascii="Times New Roman" w:hAnsi="Times New Roman" w:cs="Times New Roman"/>
                <w:b/>
                <w:bCs/>
                <w:sz w:val="24"/>
                <w:szCs w:val="28"/>
              </w:rPr>
              <w:t>设项目环境影响报告表主要结论及审批部门审批决定：</w:t>
            </w:r>
          </w:p>
          <w:p w14:paraId="63DCDD24">
            <w:pPr>
              <w:adjustRightInd w:val="0"/>
              <w:snapToGrid w:val="0"/>
              <w:spacing w:line="360" w:lineRule="auto"/>
              <w:ind w:firstLine="480" w:firstLineChars="200"/>
              <w:rPr>
                <w:rFonts w:hint="default" w:ascii="Times New Roman" w:hAnsi="Times New Roman" w:cs="Times New Roman"/>
                <w:sz w:val="24"/>
                <w:szCs w:val="28"/>
              </w:rPr>
            </w:pPr>
            <w:r>
              <w:rPr>
                <w:rFonts w:hint="default" w:ascii="Times New Roman" w:hAnsi="Times New Roman" w:cs="Times New Roman"/>
                <w:sz w:val="24"/>
                <w:szCs w:val="28"/>
              </w:rPr>
              <w:t>一、建设项目环评报告表的主要结论</w:t>
            </w:r>
          </w:p>
          <w:p w14:paraId="6A3F89FD">
            <w:pPr>
              <w:spacing w:line="360" w:lineRule="auto"/>
              <w:ind w:firstLine="480" w:firstLineChars="200"/>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北京永泰生物制品有限公司租用北京经济技术开发区康定街 1 号 2 幢 3 层，建筑面积为1148平方米，拟经营免疫细胞制剂质检实验室项目，配备实验人员 50 人，全年营业260 天，每日营业时间为 8：00 至 17：00。</w:t>
            </w:r>
          </w:p>
          <w:p w14:paraId="2B36BC6D">
            <w:pPr>
              <w:spacing w:line="360" w:lineRule="auto"/>
              <w:ind w:firstLine="480" w:firstLineChars="200"/>
              <w:rPr>
                <w:rFonts w:hint="default" w:ascii="Times New Roman" w:hAnsi="Times New Roman" w:cs="Times New Roman"/>
                <w:sz w:val="24"/>
                <w:szCs w:val="28"/>
              </w:rPr>
            </w:pPr>
            <w:r>
              <w:rPr>
                <w:rFonts w:hint="default" w:ascii="Times New Roman" w:hAnsi="Times New Roman" w:eastAsia="宋体" w:cs="Times New Roman"/>
                <w:sz w:val="24"/>
                <w:szCs w:val="24"/>
                <w:lang w:val="zh-TW" w:eastAsia="zh-CN"/>
              </w:rPr>
              <w:t>本项目为</w:t>
            </w:r>
            <w:r>
              <w:rPr>
                <w:rFonts w:hint="eastAsia" w:ascii="Times New Roman" w:hAnsi="Times New Roman" w:eastAsia="宋体" w:cs="Times New Roman"/>
                <w:sz w:val="24"/>
                <w:szCs w:val="24"/>
                <w:lang w:val="en-US" w:eastAsia="zh-CN"/>
              </w:rPr>
              <w:t>新</w:t>
            </w:r>
            <w:r>
              <w:rPr>
                <w:rFonts w:hint="default" w:ascii="Times New Roman" w:hAnsi="Times New Roman" w:eastAsia="宋体" w:cs="Times New Roman"/>
                <w:sz w:val="24"/>
                <w:szCs w:val="24"/>
                <w:lang w:val="zh-TW" w:eastAsia="zh-CN"/>
              </w:rPr>
              <w:t>建项目，项目总投资2000万元，其中环保投资为10万元</w:t>
            </w:r>
            <w:r>
              <w:rPr>
                <w:rFonts w:hint="eastAsia" w:ascii="Times New Roman" w:hAnsi="Times New Roman" w:eastAsia="宋体" w:cs="Times New Roman"/>
                <w:sz w:val="24"/>
                <w:szCs w:val="24"/>
                <w:lang w:val="zh-TW" w:eastAsia="zh-CN"/>
              </w:rPr>
              <w:t>，</w:t>
            </w:r>
            <w:r>
              <w:rPr>
                <w:rFonts w:hint="default" w:ascii="Times New Roman" w:hAnsi="Times New Roman" w:eastAsia="宋体" w:cs="Times New Roman"/>
                <w:sz w:val="24"/>
                <w:szCs w:val="24"/>
                <w:lang w:val="zh-TW" w:eastAsia="zh-CN"/>
              </w:rPr>
              <w:t>占总投资额的0.5%，主要用于生产污水处理、噪声治理、固体废物处置及废气治理等。项目不设员工宿舍和食堂，员工自行解决食宿问题。</w:t>
            </w:r>
          </w:p>
          <w:p w14:paraId="09A26561">
            <w:pPr>
              <w:numPr>
                <w:ilvl w:val="0"/>
                <w:numId w:val="2"/>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w:t>
            </w:r>
            <w:r>
              <w:rPr>
                <w:rFonts w:hint="eastAsia" w:ascii="Times New Roman" w:hAnsi="Times New Roman" w:eastAsia="宋体" w:cs="Times New Roman"/>
                <w:sz w:val="24"/>
                <w:szCs w:val="24"/>
                <w:lang w:val="en-US" w:eastAsia="zh-CN"/>
              </w:rPr>
              <w:t>水</w:t>
            </w:r>
          </w:p>
          <w:p w14:paraId="0E941F58">
            <w:pPr>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w:t>
            </w:r>
            <w:r>
              <w:rPr>
                <w:rFonts w:hint="default" w:ascii="Times New Roman" w:hAnsi="Times New Roman" w:eastAsia="宋体" w:cs="Times New Roman"/>
                <w:sz w:val="24"/>
                <w:szCs w:val="24"/>
                <w:lang w:val="en-US" w:eastAsia="zh-CN"/>
              </w:rPr>
              <w:t>项目生产废水（检测废水除外）排放量为237.4m3/a，废水中主要污染物为 COD</w:t>
            </w:r>
            <w:r>
              <w:rPr>
                <w:rFonts w:hint="default" w:ascii="Times New Roman" w:hAnsi="Times New Roman" w:eastAsia="宋体" w:cs="Times New Roman"/>
                <w:sz w:val="24"/>
                <w:szCs w:val="24"/>
                <w:vertAlign w:val="subscript"/>
                <w:lang w:val="en-US" w:eastAsia="zh-CN"/>
              </w:rPr>
              <w:t>Cr</w:t>
            </w:r>
            <w:r>
              <w:rPr>
                <w:rFonts w:hint="default" w:ascii="Times New Roman" w:hAnsi="Times New Roman" w:eastAsia="宋体" w:cs="Times New Roman"/>
                <w:sz w:val="24"/>
                <w:szCs w:val="24"/>
                <w:lang w:val="en-US" w:eastAsia="zh-CN"/>
              </w:rPr>
              <w:t>、BOD</w:t>
            </w:r>
            <w:r>
              <w:rPr>
                <w:rFonts w:hint="default" w:ascii="Times New Roman" w:hAnsi="Times New Roman" w:eastAsia="宋体" w:cs="Times New Roman"/>
                <w:sz w:val="24"/>
                <w:szCs w:val="24"/>
                <w:vertAlign w:val="subscript"/>
                <w:lang w:val="en-US" w:eastAsia="zh-CN"/>
              </w:rPr>
              <w:t>5</w:t>
            </w:r>
            <w:r>
              <w:rPr>
                <w:rFonts w:hint="default" w:ascii="Times New Roman" w:hAnsi="Times New Roman" w:eastAsia="宋体" w:cs="Times New Roman"/>
                <w:sz w:val="24"/>
                <w:szCs w:val="24"/>
                <w:lang w:val="en-US" w:eastAsia="zh-CN"/>
              </w:rPr>
              <w:t>、SS、氨氮、可溶性固体总量。项目生活污水排放量为552.5m3/a，生活污水中主要污染物为COD</w:t>
            </w:r>
            <w:r>
              <w:rPr>
                <w:rFonts w:hint="default" w:ascii="Times New Roman" w:hAnsi="Times New Roman" w:eastAsia="宋体" w:cs="Times New Roman"/>
                <w:sz w:val="24"/>
                <w:szCs w:val="24"/>
                <w:vertAlign w:val="subscript"/>
                <w:lang w:val="en-US" w:eastAsia="zh-CN"/>
              </w:rPr>
              <w:t>Cr</w:t>
            </w:r>
            <w:r>
              <w:rPr>
                <w:rFonts w:hint="default" w:ascii="Times New Roman" w:hAnsi="Times New Roman" w:eastAsia="宋体" w:cs="Times New Roman"/>
                <w:sz w:val="24"/>
                <w:szCs w:val="24"/>
                <w:lang w:val="en-US" w:eastAsia="zh-CN"/>
              </w:rPr>
              <w:t>、BOD</w:t>
            </w:r>
            <w:r>
              <w:rPr>
                <w:rFonts w:hint="default" w:ascii="Times New Roman" w:hAnsi="Times New Roman" w:eastAsia="宋体" w:cs="Times New Roman"/>
                <w:sz w:val="24"/>
                <w:szCs w:val="24"/>
                <w:vertAlign w:val="subscript"/>
                <w:lang w:val="en-US" w:eastAsia="zh-CN"/>
              </w:rPr>
              <w:t>5</w:t>
            </w:r>
            <w:r>
              <w:rPr>
                <w:rFonts w:hint="default" w:ascii="Times New Roman" w:hAnsi="Times New Roman" w:eastAsia="宋体" w:cs="Times New Roman"/>
                <w:sz w:val="24"/>
                <w:szCs w:val="24"/>
                <w:lang w:val="en-US" w:eastAsia="zh-CN"/>
              </w:rPr>
              <w:t>、SS和氨氮。项目检测废水水量为7.8m3/a，作为危废处置，委托有资质的单位定期清运，处理。</w:t>
            </w:r>
          </w:p>
          <w:p w14:paraId="243DC032">
            <w:pPr>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项目产生的生产废水（检测废水除外）经现有污水处理站处理达标后，与生活污水一并排入所在建筑现有防渗化粪池，经化粪池预处理后，可以达到北京市《水污染物综合排放标准》（DB11/307-2013）中排入公共污水处理系统的水污染物排放限值，然后经市政污水管网排入开发区东区污水处理厂。因此，项目的建设和运营对当地水环境影响较小。</w:t>
            </w:r>
          </w:p>
          <w:p w14:paraId="1E0D9311">
            <w:pPr>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目前项目所在建筑已有防渗化粪池设计处理能力为60m3/d，现有污水处理量为 40 m3/d，本项目建成后污水排放量为3.038m3/d，现有化粪池尚有余量接收处理本项目排放的污水，本项目依托现有化粪池可行。</w:t>
            </w:r>
          </w:p>
          <w:p w14:paraId="0620D2B8">
            <w:pPr>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综合污水通过市政污水管网最终排入开发区东区污水处理厂。根据项目所在地块控制性详细规划，本项目位于城镇建成区，周边市政排水条件完善，项目园区内现有现状市政污水管线。本项目污水从园区内现有市政污水管线排入开发区东区污水处理厂路由可行。</w:t>
            </w:r>
          </w:p>
          <w:p w14:paraId="4ADF49D5">
            <w:p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 xml:space="preserve">本项目排水中主要污染物的浓度均低于污水处理厂的进水水质要求，且项目排水的可生化性较好，项目排放的污水可在城市污水厂得到很好的净化处理，不会给生物系统的正常运行带来危害。根据开发区东区污水处理厂出水水质的自行监测报告，开发区东区污水处理厂出水水质能够稳定达标。 </w:t>
            </w:r>
            <w:r>
              <w:rPr>
                <w:rFonts w:hint="eastAsia" w:ascii="Times New Roman" w:hAnsi="Times New Roman" w:eastAsia="宋体" w:cs="Times New Roman"/>
                <w:sz w:val="24"/>
                <w:szCs w:val="24"/>
                <w:lang w:val="en-US" w:eastAsia="zh-CN"/>
              </w:rPr>
              <w:t>本项目废水排放浓度满足</w:t>
            </w:r>
            <w:r>
              <w:rPr>
                <w:rFonts w:hint="default" w:ascii="Times New Roman" w:hAnsi="Times New Roman" w:eastAsia="宋体" w:cs="Times New Roman"/>
                <w:sz w:val="24"/>
                <w:szCs w:val="24"/>
                <w:lang w:val="en-US" w:eastAsia="zh-CN"/>
              </w:rPr>
              <w:t>北京市《水污染物综合排放标准》（DB11/307-2013）中表3</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排入公共污水处理系统的水污染物排放限值</w:t>
            </w:r>
            <w:r>
              <w:rPr>
                <w:rFonts w:hint="eastAsia" w:ascii="Times New Roman" w:hAnsi="Times New Roman" w:eastAsia="宋体" w:cs="Times New Roman"/>
                <w:sz w:val="24"/>
                <w:szCs w:val="24"/>
                <w:lang w:val="en-US" w:eastAsia="zh-CN"/>
              </w:rPr>
              <w:t>”的要求。</w:t>
            </w:r>
          </w:p>
          <w:p w14:paraId="20D44427">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本项目排放的污染物为 COD、BOD5、SS、氨氮、可溶性固体总量，开发区东区污水处理厂排放污染物为 pH、COD、BOD、SS、动植物油、石油类、阴离子表面活性剂、总氮、氨氮、总磷、色度、粪大肠菌群、总汞、烷基贡、总镉、总铬、六价格、总砷、总铅， 其排放污染物涵盖项目排放的特征水污染物。</w:t>
            </w:r>
          </w:p>
          <w:p w14:paraId="3F2550C7">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为此，本项目依托开发区东区污水处理厂是可行的。</w:t>
            </w:r>
          </w:p>
          <w:p w14:paraId="70F741D5">
            <w:pPr>
              <w:numPr>
                <w:ilvl w:val="0"/>
                <w:numId w:val="2"/>
              </w:numPr>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w:t>
            </w:r>
            <w:r>
              <w:rPr>
                <w:rFonts w:hint="eastAsia" w:ascii="Times New Roman" w:hAnsi="Times New Roman" w:eastAsia="宋体" w:cs="Times New Roman"/>
                <w:sz w:val="24"/>
                <w:szCs w:val="24"/>
                <w:lang w:val="en-US" w:eastAsia="zh-CN"/>
              </w:rPr>
              <w:t>气</w:t>
            </w:r>
          </w:p>
          <w:p w14:paraId="6980273D">
            <w:pPr>
              <w:spacing w:line="360" w:lineRule="auto"/>
              <w:ind w:firstLine="480" w:firstLineChars="200"/>
              <w:rPr>
                <w:rFonts w:hint="eastAsia" w:ascii="Times New Roman" w:hAnsi="Times New Roman" w:eastAsia="宋体" w:cs="Times New Roman"/>
                <w:color w:val="auto"/>
                <w:kern w:val="0"/>
                <w:sz w:val="24"/>
                <w:szCs w:val="24"/>
                <w:highlight w:val="none"/>
                <w:lang w:val="en-US" w:eastAsia="zh-CN" w:bidi="ar"/>
              </w:rPr>
            </w:pPr>
            <w:r>
              <w:rPr>
                <w:rFonts w:hint="eastAsia" w:ascii="Times New Roman" w:hAnsi="Times New Roman" w:eastAsia="宋体" w:cs="Times New Roman"/>
                <w:color w:val="auto"/>
                <w:kern w:val="0"/>
                <w:sz w:val="24"/>
                <w:szCs w:val="24"/>
                <w:highlight w:val="none"/>
                <w:lang w:val="en-US" w:eastAsia="zh-CN" w:bidi="ar"/>
              </w:rPr>
              <w:t>本项目使用的化学试剂部分具有挥发性，在实验过程中会有挥发性气体产生，主要包括无机气态污染物和有机气态污染物。</w:t>
            </w:r>
          </w:p>
          <w:p w14:paraId="54D55FFE">
            <w:pPr>
              <w:spacing w:line="360" w:lineRule="auto"/>
              <w:ind w:firstLine="480" w:firstLineChars="200"/>
              <w:rPr>
                <w:rFonts w:hint="eastAsia" w:ascii="Times New Roman" w:hAnsi="Times New Roman" w:eastAsia="宋体" w:cs="Times New Roman"/>
                <w:color w:val="auto"/>
                <w:kern w:val="0"/>
                <w:sz w:val="24"/>
                <w:szCs w:val="24"/>
                <w:highlight w:val="none"/>
                <w:lang w:val="en-US" w:eastAsia="zh-CN" w:bidi="ar"/>
              </w:rPr>
            </w:pPr>
            <w:r>
              <w:rPr>
                <w:rFonts w:hint="eastAsia" w:ascii="Times New Roman" w:hAnsi="Times New Roman" w:eastAsia="宋体" w:cs="Times New Roman"/>
                <w:color w:val="auto"/>
                <w:kern w:val="0"/>
                <w:sz w:val="24"/>
                <w:szCs w:val="24"/>
                <w:highlight w:val="none"/>
                <w:lang w:val="en-US" w:eastAsia="zh-CN" w:bidi="ar"/>
              </w:rPr>
              <w:t>本项目设计的操作均在洁净工作台通风柜中进行，实验室检测过程中会用到少量的甲醇、盐酸、乙酸等具有挥发性的化学试剂，检测过程中会挥发少量的实验废气，其实验废气主要污染因子为非甲烷总烃、甲醇、硫酸雾、氯化氢，废气经过集气罩收集后，通过活性炭吸附净化后由15m高排气筒排出，项目所在的楼层共三层，排放高度约为15米，经处理后废气排放速率和排放浓度可达到北京市地方标准《大气污染物综合排放标准》（DB11/501-2007）中的有关规定，预计不会对项目周围的大气环境造成影响。</w:t>
            </w:r>
          </w:p>
          <w:p w14:paraId="72C2A41E">
            <w:pPr>
              <w:spacing w:line="360" w:lineRule="auto"/>
              <w:ind w:firstLine="480" w:firstLineChars="200"/>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3、</w:t>
            </w:r>
            <w:r>
              <w:rPr>
                <w:rFonts w:hint="default" w:ascii="Times New Roman" w:hAnsi="Times New Roman" w:cs="Times New Roman"/>
                <w:sz w:val="24"/>
                <w:szCs w:val="24"/>
                <w:lang w:val="en-US" w:eastAsia="zh-CN"/>
              </w:rPr>
              <w:t>噪声</w:t>
            </w:r>
          </w:p>
          <w:p w14:paraId="57581EE1">
            <w:pPr>
              <w:spacing w:line="360" w:lineRule="auto"/>
              <w:ind w:firstLine="480" w:firstLineChars="200"/>
              <w:rPr>
                <w:rFonts w:hint="default" w:ascii="Times New Roman" w:hAnsi="Times New Roman" w:cs="Times New Roman"/>
                <w:sz w:val="24"/>
                <w:szCs w:val="24"/>
                <w:lang w:val="en-US" w:eastAsia="zh-CN"/>
              </w:rPr>
            </w:pPr>
            <w:r>
              <w:rPr>
                <w:rFonts w:hint="default" w:ascii="Times New Roman" w:hAnsi="Times New Roman" w:eastAsia="宋体" w:cs="Times New Roman"/>
                <w:color w:val="auto"/>
                <w:kern w:val="0"/>
                <w:sz w:val="24"/>
                <w:szCs w:val="24"/>
                <w:highlight w:val="none"/>
                <w:lang w:val="en-US" w:eastAsia="zh-CN" w:bidi="ar"/>
              </w:rPr>
              <w:t>项目主要噪声源包括空调外机、风机及离心机噪声，项目室内设备选取低噪声设备，全部控制在室内，经减震和墙体阻挡后，根据预测分析，厂界噪声贡献值符合《工业企业厂界环境噪声排放标准》（GB12348-2008）中 3 类标准，且项目夜间不运营。因此，项目运营期排放的噪声对周边居民住宅区域声环境质量影响较小。</w:t>
            </w:r>
          </w:p>
          <w:p w14:paraId="226E6B43">
            <w:pPr>
              <w:pStyle w:val="56"/>
              <w:numPr>
                <w:ilvl w:val="0"/>
                <w:numId w:val="0"/>
              </w:numPr>
              <w:adjustRightInd w:val="0"/>
              <w:snapToGrid w:val="0"/>
              <w:spacing w:line="360" w:lineRule="auto"/>
              <w:ind w:left="420" w:leftChars="0"/>
              <w:rPr>
                <w:rFonts w:hint="default" w:ascii="Times New Roman" w:hAnsi="Times New Roman" w:cs="Times New Roman"/>
                <w:sz w:val="24"/>
                <w:szCs w:val="28"/>
              </w:rPr>
            </w:pPr>
            <w:r>
              <w:rPr>
                <w:rFonts w:hint="eastAsia" w:ascii="Times New Roman" w:hAnsi="Times New Roman" w:cs="Times New Roman"/>
                <w:sz w:val="24"/>
                <w:szCs w:val="28"/>
                <w:lang w:val="en-US" w:eastAsia="zh-CN"/>
              </w:rPr>
              <w:t>4、</w:t>
            </w:r>
            <w:r>
              <w:rPr>
                <w:rFonts w:hint="default" w:ascii="Times New Roman" w:hAnsi="Times New Roman" w:cs="Times New Roman"/>
                <w:sz w:val="24"/>
                <w:szCs w:val="28"/>
              </w:rPr>
              <w:t>固体废物</w:t>
            </w:r>
          </w:p>
          <w:p w14:paraId="7F3AA337">
            <w:pPr>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本项目运营中产生的危险废物主要为废化学试剂，废气处理装置定期产生的废活性炭，实验过程产生的检测废水（包括仪器清洗废水），实验过程中所用或者产生的废试剂瓶，一次性口罩、手套、废培养基、废移液枪头等。本项目运营期间所生产的危险废物属于危险废物中 HW01、HW49（危险废物）类物质，委托有相应资质的公司进行处置。项目生活垃圾与一般固体废物分类收集，妥善储存，委托当地环卫机构定期清运。</w:t>
            </w:r>
          </w:p>
          <w:p w14:paraId="5E512A78">
            <w:pPr>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本项目危险废物暂存间做好防渗工作，门口贴警示标识，委托有相应资质的公司定期清运、处置，本项目危险废物无可利用的途径，全部由有相应资质的公司进行处置。本项目按照类别分置于防渗漏，防锐器穿透的专用包装物或者密闭的容器内，专用包装物有明显的警示标识；对危险废物进行登记，登记资料保存期为 3 年。建设单位须严格按照有关法律要求及协议有关要求，对其产生的危险废物进行严格管理，禁将危险废物与生活垃圾同放，危险废物必须分类收集并按要求包装等操作。</w:t>
            </w:r>
          </w:p>
          <w:p w14:paraId="67EBB5BA">
            <w:pPr>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本项目固体废物的处理能够满足《中华人民共和国固体废物污染环境防治法》（2020 年修订）、《危险废物贮存污染控制标准》（GB18597－2001，2013 修订）等有关规定，对固体废物加强管理，妥善及时处理，项目运营期固体废物对周围环境影响较小。</w:t>
            </w:r>
          </w:p>
          <w:p w14:paraId="4763A57C">
            <w:pPr>
              <w:spacing w:line="360" w:lineRule="auto"/>
              <w:ind w:firstLine="480" w:firstLineChars="200"/>
              <w:rPr>
                <w:rFonts w:hint="default" w:ascii="Times New Roman" w:hAnsi="Times New Roman" w:cs="Times New Roman"/>
                <w:sz w:val="24"/>
                <w:szCs w:val="28"/>
                <w:lang w:val="en-US" w:eastAsia="zh-CN"/>
              </w:rPr>
            </w:pPr>
            <w:r>
              <w:rPr>
                <w:rFonts w:hint="eastAsia" w:ascii="Times New Roman" w:hAnsi="Times New Roman" w:cs="Times New Roman"/>
                <w:sz w:val="24"/>
                <w:szCs w:val="28"/>
                <w:lang w:val="en-US" w:eastAsia="zh-CN"/>
              </w:rPr>
              <w:t>5.</w:t>
            </w:r>
            <w:r>
              <w:rPr>
                <w:rFonts w:hint="default" w:ascii="Times New Roman" w:hAnsi="Times New Roman" w:cs="Times New Roman"/>
                <w:sz w:val="24"/>
                <w:szCs w:val="28"/>
                <w:lang w:val="en-US" w:eastAsia="zh-CN"/>
              </w:rPr>
              <w:t>环境风险评价结论</w:t>
            </w:r>
          </w:p>
          <w:p w14:paraId="6031F167">
            <w:pPr>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本项目环境风险潜势为</w:t>
            </w:r>
            <w:r>
              <w:rPr>
                <w:rFonts w:hint="eastAsia" w:ascii="Times New Roman" w:hAnsi="Times New Roman" w:cs="Times New Roman"/>
                <w:sz w:val="24"/>
                <w:szCs w:val="28"/>
                <w:lang w:val="en-US" w:eastAsia="zh-CN"/>
              </w:rPr>
              <w:t xml:space="preserve"> </w:t>
            </w:r>
            <w:r>
              <w:rPr>
                <w:rFonts w:hint="default" w:ascii="Times New Roman" w:hAnsi="Times New Roman" w:cs="Times New Roman"/>
                <w:sz w:val="24"/>
                <w:szCs w:val="28"/>
                <w:lang w:val="en-US" w:eastAsia="zh-CN"/>
              </w:rPr>
              <w:t>Ⅰ</w:t>
            </w:r>
            <w:r>
              <w:rPr>
                <w:rFonts w:hint="eastAsia" w:ascii="Times New Roman" w:hAnsi="Times New Roman" w:cs="Times New Roman"/>
                <w:sz w:val="24"/>
                <w:szCs w:val="28"/>
                <w:lang w:val="en-US" w:eastAsia="zh-CN"/>
              </w:rPr>
              <w:t xml:space="preserve"> </w:t>
            </w:r>
            <w:r>
              <w:rPr>
                <w:rFonts w:hint="default" w:ascii="Times New Roman" w:hAnsi="Times New Roman" w:cs="Times New Roman"/>
                <w:sz w:val="24"/>
                <w:szCs w:val="28"/>
                <w:lang w:val="en-US" w:eastAsia="zh-CN"/>
              </w:rPr>
              <w:t>级，本项目在严格遵守各项安全操作规程、制度和落实风险评价要求的防范措施之后，项目运营期风险是可接受的。</w:t>
            </w:r>
          </w:p>
          <w:p w14:paraId="0175AC3F">
            <w:pPr>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6.总体结论</w:t>
            </w:r>
          </w:p>
          <w:p w14:paraId="5737507E">
            <w:pPr>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本项目为免疫细胞制剂质检实验室，运营后主要是经营免疫细胞制剂质量检测等服务，符合国家及北京市相关产业政策的要求，并符合租赁房产的房屋规划用途。</w:t>
            </w:r>
          </w:p>
          <w:p w14:paraId="71551E23">
            <w:pPr>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本项目生产污水经现有污水处理站处理、消毒后与生活污水进入防渗化粪池预处理后经市政污水管网排入开发区东区污水处理厂；噪声设备做基础减振、隔声等措施；危险废物委托具有专业资质的机构进行处置，生活垃圾由环卫部门定期清运。</w:t>
            </w:r>
          </w:p>
          <w:p w14:paraId="576C1F16">
            <w:pPr>
              <w:spacing w:line="360" w:lineRule="auto"/>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建设项目总量控制指标由项目所在区域内协调解决，通过采取以上防治措施后，各项污染物排放均能达到国家和地方标准，符合环境保护管理的相关要求。</w:t>
            </w:r>
          </w:p>
          <w:p w14:paraId="31D7EAA3">
            <w:pPr>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综上所述，本项目的建设符合国家产业政策和相关规划要求，选址合理。项目在建设过程中严格落实“ 三同时” 制度，从环境保护角度是可行的。</w:t>
            </w:r>
          </w:p>
          <w:p w14:paraId="29EC3F1C">
            <w:pPr>
              <w:numPr>
                <w:ilvl w:val="0"/>
                <w:numId w:val="3"/>
              </w:numPr>
              <w:adjustRightInd w:val="0"/>
              <w:snapToGrid w:val="0"/>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审批部门审批决定</w:t>
            </w:r>
          </w:p>
          <w:p w14:paraId="552C2A27">
            <w:pPr>
              <w:adjustRightInd w:val="0"/>
              <w:snapToGrid w:val="0"/>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一、该项目位于北京经济技术开发区康定街1号2幢3层，建筑面积1148m2</w:t>
            </w:r>
            <w:r>
              <w:rPr>
                <w:rFonts w:hint="eastAsia" w:ascii="Times New Roman" w:hAnsi="Times New Roman" w:cs="Times New Roman"/>
                <w:sz w:val="24"/>
                <w:szCs w:val="28"/>
                <w:lang w:val="en-US" w:eastAsia="zh-CN"/>
              </w:rPr>
              <w:t>。</w:t>
            </w:r>
            <w:r>
              <w:rPr>
                <w:rFonts w:hint="default" w:ascii="Times New Roman" w:hAnsi="Times New Roman" w:cs="Times New Roman"/>
                <w:sz w:val="24"/>
                <w:szCs w:val="28"/>
                <w:lang w:val="en-US" w:eastAsia="zh-CN"/>
              </w:rPr>
              <w:t>本项目从事免疫细胞制剂质检活动，主要是为该企业正在研发和临床试验中的扩增活化的淋巴细胞、CAR-T-19 注射液等免疫细胞药物进行质量检验，只涉及实验室项目，不涉及生产。项目建成后每年能够实现对2万批次免疫细胞药物进行质检和品控的能力。从环境保护角度分析，同意环境影响报告表的环境影响评价总体结论和拟采取的生态环境保护措施。本项目应严格落实报告表提出的环境保护措施和本批复要求。</w:t>
            </w:r>
          </w:p>
          <w:p w14:paraId="013C32FC">
            <w:pPr>
              <w:adjustRightInd w:val="0"/>
              <w:snapToGrid w:val="0"/>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二、本项目实验室清洗废水</w:t>
            </w:r>
            <w:r>
              <w:rPr>
                <w:rFonts w:hint="eastAsia" w:ascii="Times New Roman" w:hAnsi="Times New Roman" w:cs="Times New Roman"/>
                <w:sz w:val="24"/>
                <w:szCs w:val="28"/>
                <w:lang w:val="en-US" w:eastAsia="zh-CN"/>
              </w:rPr>
              <w:t>和</w:t>
            </w:r>
            <w:r>
              <w:rPr>
                <w:rFonts w:hint="default" w:ascii="Times New Roman" w:hAnsi="Times New Roman" w:cs="Times New Roman"/>
                <w:sz w:val="24"/>
                <w:szCs w:val="28"/>
                <w:lang w:val="en-US" w:eastAsia="zh-CN"/>
              </w:rPr>
              <w:t>洁净服清洗废水须依托现有污水处理站处理后排放，生活污水须经园区化粪池消解后排入市政管网，污水排放执行《水污染物综合排放标准》</w:t>
            </w:r>
            <w:r>
              <w:rPr>
                <w:rFonts w:hint="eastAsia" w:ascii="Times New Roman" w:hAnsi="Times New Roman" w:cs="Times New Roman"/>
                <w:sz w:val="24"/>
                <w:szCs w:val="28"/>
                <w:lang w:val="en-US" w:eastAsia="zh-CN"/>
              </w:rPr>
              <w:t>（</w:t>
            </w:r>
            <w:r>
              <w:rPr>
                <w:rFonts w:hint="default" w:ascii="Times New Roman" w:hAnsi="Times New Roman" w:cs="Times New Roman"/>
                <w:sz w:val="24"/>
                <w:szCs w:val="28"/>
                <w:lang w:val="en-US" w:eastAsia="zh-CN"/>
              </w:rPr>
              <w:t>DB11/307-2013</w:t>
            </w:r>
            <w:r>
              <w:rPr>
                <w:rFonts w:hint="eastAsia" w:ascii="Times New Roman" w:hAnsi="Times New Roman" w:cs="Times New Roman"/>
                <w:sz w:val="24"/>
                <w:szCs w:val="28"/>
                <w:lang w:val="en-US" w:eastAsia="zh-CN"/>
              </w:rPr>
              <w:t>）“</w:t>
            </w:r>
            <w:r>
              <w:rPr>
                <w:rFonts w:hint="default" w:ascii="Times New Roman" w:hAnsi="Times New Roman" w:cs="Times New Roman"/>
                <w:sz w:val="24"/>
                <w:szCs w:val="28"/>
                <w:lang w:val="en-US" w:eastAsia="zh-CN"/>
              </w:rPr>
              <w:t>排入公共污水处理系统的水污染物排放限值</w:t>
            </w:r>
            <w:r>
              <w:rPr>
                <w:rFonts w:hint="eastAsia" w:ascii="Times New Roman" w:hAnsi="Times New Roman" w:cs="Times New Roman"/>
                <w:sz w:val="24"/>
                <w:szCs w:val="28"/>
                <w:lang w:val="en-US" w:eastAsia="zh-CN"/>
              </w:rPr>
              <w:t>”</w:t>
            </w:r>
            <w:r>
              <w:rPr>
                <w:rFonts w:hint="default" w:ascii="Times New Roman" w:hAnsi="Times New Roman" w:cs="Times New Roman"/>
                <w:sz w:val="24"/>
                <w:szCs w:val="28"/>
                <w:lang w:val="en-US" w:eastAsia="zh-CN"/>
              </w:rPr>
              <w:t>中的相关标准。</w:t>
            </w:r>
          </w:p>
          <w:p w14:paraId="7F208E4A">
            <w:pPr>
              <w:adjustRightInd w:val="0"/>
              <w:snapToGrid w:val="0"/>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三、本项目实验过程中产生的挥发性有机废气和无机废气须经活性炭吸附净化后排放。排放标准执行北京市《大气污染物综合排放标准》(DB11/501-2017 )中表3有关污染物排放浓度、速率和高度等的各项规定。</w:t>
            </w:r>
          </w:p>
          <w:p w14:paraId="78120F7A">
            <w:pPr>
              <w:adjustRightInd w:val="0"/>
              <w:snapToGrid w:val="0"/>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四、固体废弃物须按照《中华人民共和国固体废物污染环境防治法》中相关规定分类、贮存、处理，并尽可能回收利用。其中废化学试剂、检测过程中产生的检测废水、废气处理装置定期产生的废活性炭、实验过程中所用或者产生的废试剂瓶、一次性口罩、手套、废培养基、废移液枪头、检测废水等属危险废物</w:t>
            </w:r>
            <w:r>
              <w:rPr>
                <w:rFonts w:hint="eastAsia" w:ascii="Times New Roman" w:hAnsi="Times New Roman" w:cs="Times New Roman"/>
                <w:sz w:val="24"/>
                <w:szCs w:val="28"/>
                <w:lang w:val="en-US" w:eastAsia="zh-CN"/>
              </w:rPr>
              <w:t>，</w:t>
            </w:r>
            <w:r>
              <w:rPr>
                <w:rFonts w:hint="default" w:ascii="Times New Roman" w:hAnsi="Times New Roman" w:cs="Times New Roman"/>
                <w:sz w:val="24"/>
                <w:szCs w:val="28"/>
                <w:lang w:val="en-US" w:eastAsia="zh-CN"/>
              </w:rPr>
              <w:t>须委托有资质的单位进行处置，执行北京危险废物转移联单制度。危险废物的贮存应遵循《危险废物贮存污染控制标准》中的有关规定。同时建设单位须制定危险废物管理计划，报开发区有关部门备案。</w:t>
            </w:r>
          </w:p>
          <w:p w14:paraId="4ACA576B">
            <w:pPr>
              <w:adjustRightInd w:val="0"/>
              <w:snapToGrid w:val="0"/>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五、合理布局，并采取必要的措施确保厂界噪声达到《工业 企业厂界环境噪声排放标准》(GB12348 - 2008)中的3类标准。</w:t>
            </w:r>
          </w:p>
          <w:p w14:paraId="1AD51514">
            <w:pPr>
              <w:adjustRightInd w:val="0"/>
              <w:snapToGrid w:val="0"/>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六、加强环境风险防范，落实各项风险防范措施，制定突发环境事故应急预案，报开发区有关部门备案，并与开发区应急预案联动。加强化学品在运输和使用过程中的管理，分类贮存。贮存场所须按标准建设，应设自动报警装置和必要的应急防范措施</w:t>
            </w:r>
            <w:r>
              <w:rPr>
                <w:rFonts w:hint="eastAsia" w:ascii="Times New Roman" w:hAnsi="Times New Roman" w:cs="Times New Roman"/>
                <w:sz w:val="24"/>
                <w:szCs w:val="28"/>
                <w:lang w:val="en-US" w:eastAsia="zh-CN"/>
              </w:rPr>
              <w:t>，</w:t>
            </w:r>
            <w:r>
              <w:rPr>
                <w:rFonts w:hint="default" w:ascii="Times New Roman" w:hAnsi="Times New Roman" w:cs="Times New Roman"/>
                <w:sz w:val="24"/>
                <w:szCs w:val="28"/>
                <w:lang w:val="en-US" w:eastAsia="zh-CN"/>
              </w:rPr>
              <w:t>防止火灾、泄漏、爆炸。</w:t>
            </w:r>
          </w:p>
          <w:p w14:paraId="5A54981F">
            <w:pPr>
              <w:adjustRightInd w:val="0"/>
              <w:snapToGrid w:val="0"/>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七、本项目经批准后，项目的性质、规模、地点、采用的生产工艺或者防治污染、防止生态破坏的措施发生重大变动的，须向我局重新报批。自批准之日起超过五年，方决定本项目开工建设，应当报我局重新审核。</w:t>
            </w:r>
          </w:p>
          <w:p w14:paraId="481FAFAE">
            <w:pPr>
              <w:adjustRightInd w:val="0"/>
              <w:snapToGrid w:val="0"/>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八、本项目须严格执行环境保护“三同时”制度，工程完工后须按规定开展建设项目环境保护设施验收工作，依据有关规定申请排污许可。</w:t>
            </w:r>
          </w:p>
          <w:p w14:paraId="4B0C40AC">
            <w:pPr>
              <w:adjustRightInd w:val="0"/>
              <w:snapToGrid w:val="0"/>
              <w:spacing w:line="360" w:lineRule="auto"/>
              <w:ind w:firstLine="480" w:firstLineChars="200"/>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九、该项目投产后不得超过环评中申请的污染物排放总量。</w:t>
            </w:r>
          </w:p>
          <w:p w14:paraId="591EE110">
            <w:pPr>
              <w:adjustRightInd w:val="0"/>
              <w:snapToGrid w:val="0"/>
              <w:spacing w:line="360" w:lineRule="auto"/>
              <w:ind w:firstLine="480" w:firstLineChars="200"/>
              <w:rPr>
                <w:rFonts w:hint="default" w:ascii="Times New Roman" w:hAnsi="Times New Roman" w:cs="Times New Roman"/>
                <w:sz w:val="24"/>
                <w:szCs w:val="28"/>
                <w:lang w:val="en-US" w:eastAsia="zh-CN"/>
              </w:rPr>
            </w:pPr>
          </w:p>
          <w:p w14:paraId="5D142700">
            <w:pPr>
              <w:adjustRightInd w:val="0"/>
              <w:snapToGrid w:val="0"/>
              <w:spacing w:line="360" w:lineRule="auto"/>
              <w:ind w:firstLine="480" w:firstLineChars="200"/>
              <w:rPr>
                <w:rFonts w:hint="default" w:ascii="Times New Roman" w:hAnsi="Times New Roman" w:cs="Times New Roman"/>
                <w:sz w:val="24"/>
                <w:szCs w:val="28"/>
                <w:lang w:val="en-US" w:eastAsia="zh-CN"/>
              </w:rPr>
            </w:pPr>
          </w:p>
          <w:p w14:paraId="466494F0">
            <w:pPr>
              <w:adjustRightInd w:val="0"/>
              <w:snapToGrid w:val="0"/>
              <w:spacing w:line="360" w:lineRule="auto"/>
              <w:ind w:firstLine="480" w:firstLineChars="200"/>
              <w:rPr>
                <w:rFonts w:hint="default" w:ascii="Times New Roman" w:hAnsi="Times New Roman" w:cs="Times New Roman"/>
                <w:sz w:val="24"/>
                <w:szCs w:val="28"/>
                <w:lang w:val="en-US" w:eastAsia="zh-CN"/>
              </w:rPr>
            </w:pPr>
          </w:p>
          <w:p w14:paraId="6ECE54A0">
            <w:pPr>
              <w:adjustRightInd w:val="0"/>
              <w:snapToGrid w:val="0"/>
              <w:spacing w:line="360" w:lineRule="auto"/>
              <w:ind w:firstLine="480" w:firstLineChars="200"/>
              <w:rPr>
                <w:rFonts w:hint="default" w:ascii="Times New Roman" w:hAnsi="Times New Roman" w:cs="Times New Roman"/>
                <w:sz w:val="24"/>
                <w:szCs w:val="28"/>
                <w:lang w:val="en-US" w:eastAsia="zh-CN"/>
              </w:rPr>
            </w:pPr>
          </w:p>
          <w:p w14:paraId="6F213563">
            <w:pPr>
              <w:adjustRightInd w:val="0"/>
              <w:snapToGrid w:val="0"/>
              <w:spacing w:line="360" w:lineRule="auto"/>
              <w:ind w:firstLine="480" w:firstLineChars="200"/>
              <w:rPr>
                <w:rFonts w:hint="default" w:ascii="Times New Roman" w:hAnsi="Times New Roman" w:cs="Times New Roman"/>
                <w:sz w:val="24"/>
                <w:szCs w:val="28"/>
                <w:lang w:val="en-US" w:eastAsia="zh-CN"/>
              </w:rPr>
            </w:pPr>
          </w:p>
          <w:p w14:paraId="17BF1A31">
            <w:pPr>
              <w:pStyle w:val="26"/>
              <w:spacing w:before="0" w:after="0"/>
              <w:ind w:left="0" w:leftChars="0" w:firstLine="0" w:firstLineChars="0"/>
              <w:jc w:val="both"/>
              <w:rPr>
                <w:rFonts w:hint="default" w:ascii="Times New Roman" w:hAnsi="Times New Roman" w:cs="Times New Roman"/>
                <w:sz w:val="24"/>
              </w:rPr>
            </w:pPr>
            <w:bookmarkStart w:id="16" w:name="_Toc5336"/>
          </w:p>
          <w:p w14:paraId="46AA182E">
            <w:pPr>
              <w:pStyle w:val="26"/>
              <w:spacing w:before="0" w:after="0"/>
              <w:ind w:left="0" w:leftChars="0" w:firstLine="0" w:firstLineChars="0"/>
              <w:jc w:val="center"/>
              <w:rPr>
                <w:rFonts w:hint="eastAsia" w:eastAsia="黑体"/>
                <w:lang w:val="en-US" w:eastAsia="zh-CN"/>
              </w:rPr>
            </w:pPr>
            <w:r>
              <w:rPr>
                <w:rFonts w:hint="default" w:ascii="Times New Roman" w:hAnsi="Times New Roman" w:cs="Times New Roman"/>
                <w:sz w:val="24"/>
              </w:rPr>
              <w:t>表</w:t>
            </w:r>
            <w:r>
              <w:rPr>
                <w:rFonts w:hint="eastAsia" w:ascii="Times New Roman" w:hAnsi="Times New Roman" w:cs="Times New Roman"/>
                <w:sz w:val="24"/>
                <w:lang w:val="en-US" w:eastAsia="zh-CN"/>
              </w:rPr>
              <w:t>4-1</w:t>
            </w:r>
            <w:r>
              <w:rPr>
                <w:rFonts w:hint="default" w:ascii="Times New Roman" w:hAnsi="Times New Roman" w:cs="Times New Roman"/>
                <w:sz w:val="24"/>
                <w:lang w:val="en-US" w:eastAsia="zh-CN"/>
              </w:rPr>
              <w:t xml:space="preserve"> </w:t>
            </w:r>
            <w:r>
              <w:rPr>
                <w:rFonts w:hint="default" w:ascii="Times New Roman" w:hAnsi="Times New Roman" w:cs="Times New Roman"/>
                <w:sz w:val="24"/>
              </w:rPr>
              <w:t>审批决定落实情况一览表</w:t>
            </w:r>
            <w:bookmarkEnd w:id="16"/>
          </w:p>
          <w:tbl>
            <w:tblPr>
              <w:tblStyle w:val="29"/>
              <w:tblW w:w="0" w:type="auto"/>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441"/>
              <w:gridCol w:w="4171"/>
              <w:gridCol w:w="4112"/>
            </w:tblGrid>
            <w:tr w14:paraId="01E9DBB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0" w:type="auto"/>
                  <w:tcBorders>
                    <w:tl2br w:val="nil"/>
                    <w:tr2bl w:val="nil"/>
                  </w:tcBorders>
                  <w:vAlign w:val="center"/>
                </w:tcPr>
                <w:p w14:paraId="302FD472">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center"/>
                    <w:textAlignment w:val="baseline"/>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序号</w:t>
                  </w:r>
                </w:p>
              </w:tc>
              <w:tc>
                <w:tcPr>
                  <w:tcW w:w="0" w:type="auto"/>
                  <w:tcBorders>
                    <w:tl2br w:val="nil"/>
                    <w:tr2bl w:val="nil"/>
                  </w:tcBorders>
                  <w:vAlign w:val="center"/>
                </w:tcPr>
                <w:p w14:paraId="322E3786">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center"/>
                    <w:textAlignment w:val="baseline"/>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审批决定</w:t>
                  </w:r>
                </w:p>
              </w:tc>
              <w:tc>
                <w:tcPr>
                  <w:tcW w:w="0" w:type="auto"/>
                  <w:tcBorders>
                    <w:tl2br w:val="nil"/>
                    <w:tr2bl w:val="nil"/>
                  </w:tcBorders>
                  <w:vAlign w:val="center"/>
                </w:tcPr>
                <w:p w14:paraId="184BE42C">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center"/>
                    <w:textAlignment w:val="baseline"/>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实际</w:t>
                  </w:r>
                  <w:r>
                    <w:rPr>
                      <w:rFonts w:hint="default" w:ascii="Times New Roman" w:hAnsi="Times New Roman" w:eastAsia="宋体" w:cs="Times New Roman"/>
                      <w:b/>
                      <w:sz w:val="21"/>
                      <w:szCs w:val="21"/>
                      <w:lang w:eastAsia="zh-CN"/>
                    </w:rPr>
                    <w:t>建设</w:t>
                  </w:r>
                  <w:r>
                    <w:rPr>
                      <w:rFonts w:hint="default" w:ascii="Times New Roman" w:hAnsi="Times New Roman" w:eastAsia="宋体" w:cs="Times New Roman"/>
                      <w:b/>
                      <w:sz w:val="21"/>
                      <w:szCs w:val="21"/>
                    </w:rPr>
                    <w:t>情况</w:t>
                  </w:r>
                </w:p>
              </w:tc>
            </w:tr>
            <w:tr w14:paraId="11762C0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58" w:hRule="atLeast"/>
              </w:trPr>
              <w:tc>
                <w:tcPr>
                  <w:tcW w:w="0" w:type="auto"/>
                  <w:tcBorders>
                    <w:tl2br w:val="nil"/>
                    <w:tr2bl w:val="nil"/>
                  </w:tcBorders>
                  <w:vAlign w:val="center"/>
                </w:tcPr>
                <w:p w14:paraId="16D4A702">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0" w:type="auto"/>
                  <w:tcBorders>
                    <w:tl2br w:val="nil"/>
                    <w:tr2bl w:val="nil"/>
                  </w:tcBorders>
                  <w:vAlign w:val="center"/>
                </w:tcPr>
                <w:p w14:paraId="6F67176A">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val="en-US" w:eastAsia="zh-CN"/>
                    </w:rPr>
                  </w:pPr>
                  <w:r>
                    <w:rPr>
                      <w:rFonts w:hint="default" w:ascii="Times New Roman" w:hAnsi="Times New Roman" w:eastAsia="宋体" w:cs="Times New Roman"/>
                      <w:spacing w:val="13"/>
                      <w:sz w:val="21"/>
                      <w:szCs w:val="21"/>
                      <w:lang w:val="en-US" w:eastAsia="zh-CN"/>
                    </w:rPr>
                    <w:t>该项目位于北京经济技术开发区康定街1号2幢3层，建筑面积1148m2。本项目从事免疫细胞制剂质检活动，主要是为该企业正在研发和临床试验中的扩增活化的淋巴细胞、CAR-T-19 注射液等免疫细胞药物进行质量检验，只涉及实验室项目，不涉及生产。项目建成后每年能够实现对2万批次免疫细胞药物进行质检和品控的能力。</w:t>
                  </w:r>
                </w:p>
              </w:tc>
              <w:tc>
                <w:tcPr>
                  <w:tcW w:w="0" w:type="auto"/>
                  <w:tcBorders>
                    <w:tl2br w:val="nil"/>
                    <w:tr2bl w:val="nil"/>
                  </w:tcBorders>
                  <w:vAlign w:val="center"/>
                </w:tcPr>
                <w:p w14:paraId="2D36F81D">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left"/>
                    <w:textAlignment w:val="baseline"/>
                    <w:rPr>
                      <w:rFonts w:hint="default" w:ascii="Times New Roman" w:hAnsi="Times New Roman" w:eastAsia="宋体" w:cs="Times New Roman"/>
                      <w:spacing w:val="13"/>
                      <w:sz w:val="21"/>
                      <w:szCs w:val="21"/>
                      <w:lang w:val="en-US" w:eastAsia="zh-CN"/>
                    </w:rPr>
                  </w:pPr>
                  <w:r>
                    <w:rPr>
                      <w:rFonts w:hint="default" w:ascii="Times New Roman" w:hAnsi="Times New Roman" w:eastAsia="宋体" w:cs="Times New Roman"/>
                      <w:spacing w:val="13"/>
                      <w:sz w:val="21"/>
                      <w:szCs w:val="21"/>
                      <w:lang w:val="en-US" w:eastAsia="zh-CN"/>
                    </w:rPr>
                    <w:t>已落实。</w:t>
                  </w:r>
                </w:p>
                <w:p w14:paraId="4C6FF5EC">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val="en-US" w:eastAsia="zh-CN"/>
                    </w:rPr>
                  </w:pPr>
                  <w:r>
                    <w:rPr>
                      <w:rFonts w:hint="default" w:ascii="Times New Roman" w:hAnsi="Times New Roman" w:eastAsia="宋体" w:cs="Times New Roman"/>
                      <w:spacing w:val="13"/>
                      <w:sz w:val="21"/>
                      <w:szCs w:val="21"/>
                      <w:lang w:val="en-US" w:eastAsia="zh-CN"/>
                    </w:rPr>
                    <w:t>该项目位于北京经济技术开发区康定街1号2幢3层，建筑面积1148m2。本项目从事免疫细胞制剂质检活动，主要是为该企业正在研发和临床试验中的扩增活化的淋巴细胞、CAR-T-19 注射液等免疫细胞药物进行质量检验，只涉及实验室项目，不涉及生产。项目建成后每年能够实现对2万批次免疫细胞药物进行质检和品控的能力。</w:t>
                  </w:r>
                </w:p>
              </w:tc>
            </w:tr>
            <w:tr w14:paraId="5A19132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11" w:hRule="atLeast"/>
              </w:trPr>
              <w:tc>
                <w:tcPr>
                  <w:tcW w:w="0" w:type="auto"/>
                  <w:tcBorders>
                    <w:tl2br w:val="nil"/>
                    <w:tr2bl w:val="nil"/>
                  </w:tcBorders>
                  <w:vAlign w:val="center"/>
                </w:tcPr>
                <w:p w14:paraId="4777748B">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center"/>
                    <w:textAlignment w:val="baseline"/>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w:t>
                  </w:r>
                </w:p>
              </w:tc>
              <w:tc>
                <w:tcPr>
                  <w:tcW w:w="0" w:type="auto"/>
                  <w:tcBorders>
                    <w:tl2br w:val="nil"/>
                    <w:tr2bl w:val="nil"/>
                  </w:tcBorders>
                  <w:vAlign w:val="center"/>
                </w:tcPr>
                <w:p w14:paraId="2A1CCAD0">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color w:val="292929"/>
                      <w:kern w:val="0"/>
                      <w:sz w:val="21"/>
                      <w:szCs w:val="21"/>
                      <w:lang w:val="en-US" w:eastAsia="zh-CN" w:bidi="ar"/>
                    </w:rPr>
                  </w:pPr>
                  <w:r>
                    <w:rPr>
                      <w:rFonts w:hint="default" w:ascii="Times New Roman" w:hAnsi="Times New Roman" w:eastAsia="宋体" w:cs="Times New Roman"/>
                      <w:spacing w:val="13"/>
                      <w:sz w:val="21"/>
                      <w:szCs w:val="21"/>
                      <w:lang w:val="en-US" w:eastAsia="zh-CN"/>
                    </w:rPr>
                    <w:t>本项目实验室清洗废水、洁净服清洗废水以及制备纯水废水须依托现有污水处理站处理后排放，生活污水须经园区化粪池消解后排入市政管网，污水排放执行《水污染物综合排放标准》（DB11/307-2013）“排入公共污水处理系统的水污染物排放限值”中的相关标准。</w:t>
                  </w:r>
                </w:p>
              </w:tc>
              <w:tc>
                <w:tcPr>
                  <w:tcW w:w="0" w:type="auto"/>
                  <w:tcBorders>
                    <w:tl2br w:val="nil"/>
                    <w:tr2bl w:val="nil"/>
                  </w:tcBorders>
                  <w:vAlign w:val="center"/>
                </w:tcPr>
                <w:p w14:paraId="5078FE3A">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left"/>
                    <w:textAlignment w:val="baseline"/>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已落实。</w:t>
                  </w:r>
                </w:p>
                <w:p w14:paraId="70307033">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left"/>
                    <w:textAlignment w:val="baseline"/>
                    <w:rPr>
                      <w:rFonts w:hint="default" w:ascii="Times New Roman" w:hAnsi="Times New Roman" w:eastAsia="宋体" w:cs="Times New Roman"/>
                      <w:spacing w:val="13"/>
                      <w:sz w:val="21"/>
                      <w:szCs w:val="21"/>
                      <w:lang w:val="en-US" w:eastAsia="zh-CN"/>
                    </w:rPr>
                  </w:pPr>
                  <w:r>
                    <w:rPr>
                      <w:rFonts w:hint="default" w:ascii="Times New Roman" w:hAnsi="Times New Roman" w:eastAsia="宋体" w:cs="Times New Roman"/>
                      <w:sz w:val="21"/>
                      <w:szCs w:val="21"/>
                      <w:lang w:val="en-US" w:eastAsia="zh-CN"/>
                    </w:rPr>
                    <w:t>1、</w:t>
                  </w:r>
                  <w:r>
                    <w:rPr>
                      <w:rFonts w:hint="default" w:ascii="Times New Roman" w:hAnsi="Times New Roman" w:eastAsia="宋体" w:cs="Times New Roman"/>
                      <w:sz w:val="21"/>
                      <w:szCs w:val="21"/>
                      <w:lang w:eastAsia="zh-CN"/>
                    </w:rPr>
                    <w:t>本项目</w:t>
                  </w:r>
                  <w:r>
                    <w:rPr>
                      <w:rFonts w:hint="default" w:ascii="Times New Roman" w:hAnsi="Times New Roman" w:eastAsia="宋体" w:cs="Times New Roman"/>
                      <w:spacing w:val="13"/>
                      <w:sz w:val="21"/>
                      <w:szCs w:val="21"/>
                      <w:lang w:val="en-US" w:eastAsia="zh-CN"/>
                    </w:rPr>
                    <w:t>实验室清洗废水</w:t>
                  </w:r>
                  <w:r>
                    <w:rPr>
                      <w:rFonts w:hint="eastAsia" w:ascii="Times New Roman" w:hAnsi="Times New Roman" w:eastAsia="宋体" w:cs="Times New Roman"/>
                      <w:spacing w:val="13"/>
                      <w:sz w:val="21"/>
                      <w:szCs w:val="21"/>
                      <w:lang w:val="en-US" w:eastAsia="zh-CN"/>
                    </w:rPr>
                    <w:t>及</w:t>
                  </w:r>
                  <w:r>
                    <w:rPr>
                      <w:rFonts w:hint="default" w:ascii="Times New Roman" w:hAnsi="Times New Roman" w:eastAsia="宋体" w:cs="Times New Roman"/>
                      <w:spacing w:val="13"/>
                      <w:sz w:val="21"/>
                      <w:szCs w:val="21"/>
                      <w:lang w:val="en-US" w:eastAsia="zh-CN"/>
                    </w:rPr>
                    <w:t>洁净服清洗废水须依托现有污水处理站处理后排放于生活污水一并排入化粪池，经化粪池预处理后通过市政污水管网最终排入开发区东区污水处理厂。</w:t>
                  </w:r>
                </w:p>
                <w:p w14:paraId="4E67C21F">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left"/>
                    <w:textAlignment w:val="baseline"/>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val="en-US" w:eastAsia="zh-CN"/>
                    </w:rPr>
                    <w:t>2、根据检测结果，项目废水</w:t>
                  </w:r>
                  <w:r>
                    <w:rPr>
                      <w:rFonts w:hint="default" w:ascii="Times New Roman" w:hAnsi="Times New Roman" w:eastAsia="宋体" w:cs="Times New Roman"/>
                      <w:sz w:val="21"/>
                      <w:szCs w:val="21"/>
                      <w:lang w:eastAsia="zh-CN"/>
                    </w:rPr>
                    <w:t>排放</w:t>
                  </w:r>
                  <w:r>
                    <w:rPr>
                      <w:rFonts w:hint="default" w:ascii="Times New Roman" w:hAnsi="Times New Roman" w:eastAsia="宋体" w:cs="Times New Roman"/>
                      <w:sz w:val="21"/>
                      <w:szCs w:val="21"/>
                      <w:lang w:val="en-US" w:eastAsia="zh-CN"/>
                    </w:rPr>
                    <w:t>满足</w:t>
                  </w:r>
                  <w:r>
                    <w:rPr>
                      <w:rFonts w:hint="default" w:ascii="Times New Roman" w:hAnsi="Times New Roman" w:eastAsia="宋体" w:cs="Times New Roman"/>
                      <w:sz w:val="21"/>
                      <w:szCs w:val="21"/>
                      <w:lang w:eastAsia="zh-CN"/>
                    </w:rPr>
                    <w:t>《水污染物综合排放标准》(DB11/307-2013) 表3“排入公共污水处 理系统的水污染物排放限值”中的相关标准限值</w:t>
                  </w:r>
                </w:p>
              </w:tc>
            </w:tr>
            <w:tr w14:paraId="548882E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90" w:hRule="atLeast"/>
              </w:trPr>
              <w:tc>
                <w:tcPr>
                  <w:tcW w:w="0" w:type="auto"/>
                  <w:tcBorders>
                    <w:tl2br w:val="nil"/>
                    <w:tr2bl w:val="nil"/>
                  </w:tcBorders>
                  <w:vAlign w:val="center"/>
                </w:tcPr>
                <w:p w14:paraId="1A3710AD">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center"/>
                    <w:textAlignment w:val="baseline"/>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w:t>
                  </w:r>
                </w:p>
              </w:tc>
              <w:tc>
                <w:tcPr>
                  <w:tcW w:w="0" w:type="auto"/>
                  <w:tcBorders>
                    <w:tl2br w:val="nil"/>
                    <w:tr2bl w:val="nil"/>
                  </w:tcBorders>
                  <w:vAlign w:val="center"/>
                </w:tcPr>
                <w:p w14:paraId="3E7C0747">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val="en-US" w:eastAsia="zh-CN"/>
                    </w:rPr>
                  </w:pPr>
                  <w:r>
                    <w:rPr>
                      <w:rFonts w:hint="default" w:ascii="Times New Roman" w:hAnsi="Times New Roman" w:eastAsia="宋体" w:cs="Times New Roman"/>
                      <w:spacing w:val="13"/>
                      <w:sz w:val="21"/>
                      <w:szCs w:val="21"/>
                      <w:lang w:val="en-US" w:eastAsia="zh-CN"/>
                    </w:rPr>
                    <w:t>本项目实验过程中产生的挥发性有机废气和无机废气须经活性炭吸附净化后排放。排放标准执行北京市《大气污染物综 合排放标准》(DB11/501-2017 )中表3有关污染物排放浓度、速率和高度等的各项规定。</w:t>
                  </w:r>
                </w:p>
              </w:tc>
              <w:tc>
                <w:tcPr>
                  <w:tcW w:w="0" w:type="auto"/>
                  <w:tcBorders>
                    <w:tl2br w:val="nil"/>
                    <w:tr2bl w:val="nil"/>
                  </w:tcBorders>
                  <w:vAlign w:val="center"/>
                </w:tcPr>
                <w:p w14:paraId="090B006A">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val="en-US" w:eastAsia="zh-CN"/>
                    </w:rPr>
                  </w:pPr>
                  <w:r>
                    <w:rPr>
                      <w:rFonts w:hint="default" w:ascii="Times New Roman" w:hAnsi="Times New Roman" w:eastAsia="宋体" w:cs="Times New Roman"/>
                      <w:spacing w:val="13"/>
                      <w:sz w:val="21"/>
                      <w:szCs w:val="21"/>
                      <w:lang w:val="en-US" w:eastAsia="zh-CN"/>
                    </w:rPr>
                    <w:t>已落实。</w:t>
                  </w:r>
                </w:p>
                <w:p w14:paraId="7B333D3F">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val="en-US" w:eastAsia="zh-CN"/>
                    </w:rPr>
                  </w:pPr>
                  <w:r>
                    <w:rPr>
                      <w:rFonts w:hint="default" w:ascii="Times New Roman" w:hAnsi="Times New Roman" w:eastAsia="宋体" w:cs="Times New Roman"/>
                      <w:spacing w:val="13"/>
                      <w:sz w:val="21"/>
                      <w:szCs w:val="21"/>
                      <w:lang w:val="en-US" w:eastAsia="zh-CN"/>
                    </w:rPr>
                    <w:t>1、本项目实验过程中产生的挥发性有机废气和无机废气须经活性炭吸附净化后排放。</w:t>
                  </w:r>
                </w:p>
                <w:p w14:paraId="4A7EE297">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eastAsia="zh-CN"/>
                    </w:rPr>
                  </w:pPr>
                  <w:r>
                    <w:rPr>
                      <w:rFonts w:hint="default" w:ascii="Times New Roman" w:hAnsi="Times New Roman" w:eastAsia="宋体" w:cs="Times New Roman"/>
                      <w:spacing w:val="13"/>
                      <w:sz w:val="21"/>
                      <w:szCs w:val="21"/>
                      <w:lang w:val="en-US" w:eastAsia="zh-CN"/>
                    </w:rPr>
                    <w:t>2、根据检测结果，项目废气污染物排放满足北京市《大气污染物综合排放标准》(DB11/501-2017)  中表3有关污染物排放浓度、速率和高度等的各项规定。</w:t>
                  </w:r>
                </w:p>
              </w:tc>
            </w:tr>
            <w:tr w14:paraId="7451D67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42" w:hRule="atLeast"/>
              </w:trPr>
              <w:tc>
                <w:tcPr>
                  <w:tcW w:w="0" w:type="auto"/>
                  <w:tcBorders>
                    <w:tl2br w:val="nil"/>
                    <w:tr2bl w:val="nil"/>
                  </w:tcBorders>
                  <w:vAlign w:val="center"/>
                </w:tcPr>
                <w:p w14:paraId="6EC51213">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center"/>
                    <w:textAlignment w:val="baseline"/>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w:t>
                  </w:r>
                </w:p>
              </w:tc>
              <w:tc>
                <w:tcPr>
                  <w:tcW w:w="0" w:type="auto"/>
                  <w:tcBorders>
                    <w:tl2br w:val="nil"/>
                    <w:tr2bl w:val="nil"/>
                  </w:tcBorders>
                  <w:vAlign w:val="center"/>
                </w:tcPr>
                <w:p w14:paraId="74CC5F38">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val="en-US" w:eastAsia="zh-CN"/>
                    </w:rPr>
                  </w:pPr>
                  <w:r>
                    <w:rPr>
                      <w:rFonts w:hint="default" w:ascii="Times New Roman" w:hAnsi="Times New Roman" w:eastAsia="宋体" w:cs="Times New Roman"/>
                      <w:spacing w:val="13"/>
                      <w:sz w:val="21"/>
                      <w:szCs w:val="21"/>
                      <w:lang w:val="en-US" w:eastAsia="zh-CN"/>
                    </w:rPr>
                    <w:t>固体废弃物须按照《中华人民共和国固体废物污染环境防治法》中相关规定分类、贮存、处理，并尽可能回收利用。其中废化学试剂、检测过程中产生的检测废水、废气处理装置定期产生的废活性炭、实验过程中所用或者产生的废试剂瓶、一次性口罩、手套、废培养基、废移液枪头、检测废水等属危险废物，须委托有资质的单位进行处置，执行北京危险废物转移联单制度。危险废物的贮存应遵循《危险废物贮存污染控制标准》中的有关规定。同时建设单位须制定危险废物管理计划，报开发区有关部门备案。</w:t>
                  </w:r>
                </w:p>
              </w:tc>
              <w:tc>
                <w:tcPr>
                  <w:tcW w:w="0" w:type="auto"/>
                  <w:tcBorders>
                    <w:tl2br w:val="nil"/>
                    <w:tr2bl w:val="nil"/>
                  </w:tcBorders>
                  <w:vAlign w:val="center"/>
                </w:tcPr>
                <w:p w14:paraId="5099E8B5">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val="en-US" w:eastAsia="zh-CN"/>
                    </w:rPr>
                  </w:pPr>
                  <w:r>
                    <w:rPr>
                      <w:rFonts w:hint="default" w:ascii="Times New Roman" w:hAnsi="Times New Roman" w:eastAsia="宋体" w:cs="Times New Roman"/>
                      <w:spacing w:val="13"/>
                      <w:sz w:val="21"/>
                      <w:szCs w:val="21"/>
                      <w:lang w:val="en-US" w:eastAsia="zh-CN"/>
                    </w:rPr>
                    <w:t>已落实。</w:t>
                  </w:r>
                </w:p>
                <w:p w14:paraId="1032746F">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val="en-US" w:eastAsia="zh-CN"/>
                    </w:rPr>
                  </w:pPr>
                  <w:r>
                    <w:rPr>
                      <w:rFonts w:hint="default" w:ascii="Times New Roman" w:hAnsi="Times New Roman" w:eastAsia="宋体" w:cs="Times New Roman"/>
                      <w:spacing w:val="13"/>
                      <w:sz w:val="21"/>
                      <w:szCs w:val="21"/>
                      <w:lang w:val="en-US" w:eastAsia="zh-CN"/>
                    </w:rPr>
                    <w:t>本项目生活垃圾</w:t>
                  </w:r>
                  <w:r>
                    <w:rPr>
                      <w:rFonts w:hint="default" w:ascii="Times New Roman" w:hAnsi="Times New Roman" w:eastAsia="宋体" w:cs="Times New Roman"/>
                      <w:spacing w:val="13"/>
                      <w:sz w:val="21"/>
                      <w:szCs w:val="21"/>
                      <w:lang w:val="zh-TW" w:eastAsia="zh-CN"/>
                    </w:rPr>
                    <w:t>经分类收集后，</w:t>
                  </w:r>
                  <w:r>
                    <w:rPr>
                      <w:rFonts w:hint="default" w:ascii="Times New Roman" w:hAnsi="Times New Roman" w:eastAsia="宋体" w:cs="Times New Roman"/>
                      <w:spacing w:val="13"/>
                      <w:sz w:val="21"/>
                      <w:szCs w:val="21"/>
                      <w:lang w:val="en-US" w:eastAsia="zh-CN"/>
                    </w:rPr>
                    <w:t>转运至园区垃圾站，由物业委托环卫部门清运</w:t>
                  </w:r>
                </w:p>
                <w:p w14:paraId="4898C069">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val="en-US" w:eastAsia="zh-CN"/>
                    </w:rPr>
                  </w:pPr>
                  <w:r>
                    <w:rPr>
                      <w:rFonts w:hint="default" w:ascii="Times New Roman" w:hAnsi="Times New Roman" w:eastAsia="宋体" w:cs="Times New Roman"/>
                      <w:spacing w:val="13"/>
                      <w:sz w:val="21"/>
                      <w:szCs w:val="21"/>
                      <w:lang w:val="en-US" w:eastAsia="zh-CN"/>
                    </w:rPr>
                    <w:t>2、本项目一般工业固体废物</w:t>
                  </w:r>
                  <w:r>
                    <w:rPr>
                      <w:rFonts w:hint="default" w:ascii="Times New Roman" w:hAnsi="Times New Roman" w:eastAsia="宋体" w:cs="Times New Roman"/>
                      <w:spacing w:val="13"/>
                      <w:sz w:val="21"/>
                      <w:szCs w:val="21"/>
                      <w:lang w:val="zh-TW" w:eastAsia="zh-CN"/>
                    </w:rPr>
                    <w:t>主要是各种废弃的包装材料等，转运至园区垃圾站，由物业委托环卫部门清运。</w:t>
                  </w:r>
                </w:p>
                <w:p w14:paraId="2CADA91B">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eastAsia="zh-CN"/>
                    </w:rPr>
                  </w:pPr>
                  <w:r>
                    <w:rPr>
                      <w:rFonts w:hint="default" w:ascii="Times New Roman" w:hAnsi="Times New Roman" w:eastAsia="宋体" w:cs="Times New Roman"/>
                      <w:spacing w:val="13"/>
                      <w:sz w:val="21"/>
                      <w:szCs w:val="21"/>
                      <w:lang w:val="en-US" w:eastAsia="zh-CN"/>
                    </w:rPr>
                    <w:t>3、本项目危险废物废化学试剂，检测废水，废气处理装置定期产生的废活性炭，实验过程中所用或者产生的废试剂瓶， 一次性口罩、手</w:t>
                  </w:r>
                  <w:r>
                    <w:rPr>
                      <w:rFonts w:hint="default" w:ascii="Times New Roman" w:hAnsi="Times New Roman" w:eastAsia="宋体" w:cs="Times New Roman"/>
                      <w:spacing w:val="13"/>
                      <w:sz w:val="21"/>
                      <w:szCs w:val="21"/>
                      <w:highlight w:val="none"/>
                      <w:lang w:val="en-US" w:eastAsia="zh-CN"/>
                    </w:rPr>
                    <w:t>套、废培养基、废移液枪头等暂存于危废暂存间内，最终交由北京鼎泰鹏宇环保科技有限公司</w:t>
                  </w:r>
                  <w:r>
                    <w:rPr>
                      <w:rFonts w:hint="default" w:ascii="Times New Roman" w:hAnsi="Times New Roman" w:eastAsia="宋体" w:cs="Times New Roman"/>
                      <w:color w:val="000000"/>
                      <w:sz w:val="21"/>
                      <w:szCs w:val="21"/>
                      <w:highlight w:val="none"/>
                      <w:lang w:val="en-US" w:eastAsia="zh-CN"/>
                    </w:rPr>
                    <w:t>及北京鑫鑫顺通运输服务有限公司</w:t>
                  </w:r>
                  <w:r>
                    <w:rPr>
                      <w:rFonts w:hint="default" w:ascii="Times New Roman" w:hAnsi="Times New Roman" w:eastAsia="宋体" w:cs="Times New Roman"/>
                      <w:spacing w:val="13"/>
                      <w:sz w:val="21"/>
                      <w:szCs w:val="21"/>
                      <w:highlight w:val="none"/>
                      <w:lang w:val="en-US" w:eastAsia="zh-CN"/>
                    </w:rPr>
                    <w:t>进行清运、处置。</w:t>
                  </w:r>
                </w:p>
              </w:tc>
            </w:tr>
            <w:tr w14:paraId="4DFD636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684" w:hRule="atLeast"/>
              </w:trPr>
              <w:tc>
                <w:tcPr>
                  <w:tcW w:w="0" w:type="auto"/>
                  <w:tcBorders>
                    <w:tl2br w:val="nil"/>
                    <w:tr2bl w:val="nil"/>
                  </w:tcBorders>
                  <w:vAlign w:val="center"/>
                </w:tcPr>
                <w:p w14:paraId="642F0148">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center"/>
                    <w:textAlignment w:val="baseline"/>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5</w:t>
                  </w:r>
                </w:p>
              </w:tc>
              <w:tc>
                <w:tcPr>
                  <w:tcW w:w="0" w:type="auto"/>
                  <w:tcBorders>
                    <w:tl2br w:val="nil"/>
                    <w:tr2bl w:val="nil"/>
                  </w:tcBorders>
                  <w:vAlign w:val="center"/>
                </w:tcPr>
                <w:p w14:paraId="66DDE641">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val="en-US" w:eastAsia="zh-CN"/>
                    </w:rPr>
                  </w:pPr>
                  <w:r>
                    <w:rPr>
                      <w:rFonts w:hint="default" w:ascii="Times New Roman" w:hAnsi="Times New Roman" w:eastAsia="宋体" w:cs="Times New Roman"/>
                      <w:spacing w:val="13"/>
                      <w:sz w:val="21"/>
                      <w:szCs w:val="21"/>
                      <w:lang w:val="en-US" w:eastAsia="zh-CN"/>
                    </w:rPr>
                    <w:t>合理布局，并采取必要的措施确保厂界噪声达到《工业企业厂界环境噪声排放标准》(GB12348－2008)中的3类标准</w:t>
                  </w:r>
                </w:p>
                <w:p w14:paraId="12F33C2A">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val="en-US" w:eastAsia="zh-CN"/>
                    </w:rPr>
                  </w:pPr>
                </w:p>
              </w:tc>
              <w:tc>
                <w:tcPr>
                  <w:tcW w:w="0" w:type="auto"/>
                  <w:tcBorders>
                    <w:tl2br w:val="nil"/>
                    <w:tr2bl w:val="nil"/>
                  </w:tcBorders>
                  <w:shd w:val="clear" w:color="auto" w:fill="auto"/>
                  <w:vAlign w:val="center"/>
                </w:tcPr>
                <w:p w14:paraId="404A9CBB">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val="en-US" w:eastAsia="zh-CN"/>
                    </w:rPr>
                  </w:pPr>
                  <w:r>
                    <w:rPr>
                      <w:rFonts w:hint="default" w:ascii="Times New Roman" w:hAnsi="Times New Roman" w:eastAsia="宋体" w:cs="Times New Roman"/>
                      <w:spacing w:val="13"/>
                      <w:sz w:val="21"/>
                      <w:szCs w:val="21"/>
                      <w:lang w:val="en-US" w:eastAsia="zh-CN"/>
                    </w:rPr>
                    <w:t>已落实。</w:t>
                  </w:r>
                </w:p>
                <w:p w14:paraId="5DA838BD">
                  <w:pPr>
                    <w:pStyle w:val="110"/>
                    <w:spacing w:before="160"/>
                    <w:ind w:right="95"/>
                    <w:jc w:val="left"/>
                    <w:rPr>
                      <w:rFonts w:hint="default" w:ascii="Times New Roman" w:hAnsi="Times New Roman" w:eastAsia="宋体" w:cs="Times New Roman"/>
                      <w:spacing w:val="13"/>
                      <w:kern w:val="2"/>
                      <w:sz w:val="21"/>
                      <w:szCs w:val="21"/>
                      <w:lang w:val="en-US" w:eastAsia="zh-CN" w:bidi="ar-SA"/>
                    </w:rPr>
                  </w:pPr>
                  <w:r>
                    <w:rPr>
                      <w:rFonts w:hint="default" w:ascii="Times New Roman" w:hAnsi="Times New Roman" w:eastAsia="宋体" w:cs="Times New Roman"/>
                      <w:spacing w:val="13"/>
                      <w:sz w:val="21"/>
                      <w:szCs w:val="21"/>
                      <w:lang w:val="en-US" w:eastAsia="zh-CN"/>
                    </w:rPr>
                    <w:t>1、</w:t>
                  </w:r>
                  <w:r>
                    <w:rPr>
                      <w:rFonts w:hint="default" w:ascii="Times New Roman" w:hAnsi="Times New Roman" w:eastAsia="宋体" w:cs="Times New Roman"/>
                      <w:spacing w:val="13"/>
                      <w:kern w:val="2"/>
                      <w:sz w:val="21"/>
                      <w:szCs w:val="21"/>
                      <w:lang w:val="en-US" w:eastAsia="zh-CN" w:bidi="ar-SA"/>
                    </w:rPr>
                    <w:t>本项目主要噪</w:t>
                  </w:r>
                  <w:r>
                    <w:rPr>
                      <w:rFonts w:hint="default" w:ascii="Times New Roman" w:hAnsi="Times New Roman" w:eastAsia="宋体" w:cs="Times New Roman"/>
                      <w:spacing w:val="13"/>
                      <w:kern w:val="2"/>
                      <w:sz w:val="21"/>
                      <w:szCs w:val="21"/>
                      <w:highlight w:val="none"/>
                      <w:lang w:val="en-US" w:eastAsia="zh-CN" w:bidi="ar-SA"/>
                    </w:rPr>
                    <w:t>声源为空压机、空调外机、离心机、风机等设备运行时产生的噪声。本项目夜间不生产，项目室内设备选取低噪声设备，针对主</w:t>
                  </w:r>
                  <w:r>
                    <w:rPr>
                      <w:rFonts w:hint="default" w:ascii="Times New Roman" w:hAnsi="Times New Roman" w:eastAsia="宋体" w:cs="Times New Roman"/>
                      <w:spacing w:val="13"/>
                      <w:kern w:val="2"/>
                      <w:sz w:val="21"/>
                      <w:szCs w:val="21"/>
                      <w:lang w:val="en-US" w:eastAsia="zh-CN" w:bidi="ar-SA"/>
                    </w:rPr>
                    <w:t>要产噪设备采取隔声、基础减震等措施。</w:t>
                  </w:r>
                </w:p>
                <w:p w14:paraId="4B8FE196">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val="en-US" w:eastAsia="zh-CN"/>
                    </w:rPr>
                  </w:pPr>
                  <w:r>
                    <w:rPr>
                      <w:rFonts w:hint="default" w:ascii="Times New Roman" w:hAnsi="Times New Roman" w:eastAsia="宋体" w:cs="Times New Roman"/>
                      <w:spacing w:val="13"/>
                      <w:kern w:val="2"/>
                      <w:sz w:val="21"/>
                      <w:szCs w:val="21"/>
                      <w:lang w:val="en-US" w:eastAsia="zh-CN" w:bidi="ar-SA"/>
                    </w:rPr>
                    <w:t>2、根据检测结果，项目厂界噪声满足《工业企业厂界环境噪声排放标准》（GB12348-2008）中的3类标</w:t>
                  </w:r>
                  <w:r>
                    <w:rPr>
                      <w:rFonts w:hint="default" w:ascii="Times New Roman" w:hAnsi="Times New Roman" w:eastAsia="宋体" w:cs="Times New Roman"/>
                      <w:spacing w:val="13"/>
                      <w:sz w:val="21"/>
                      <w:szCs w:val="21"/>
                      <w:lang w:val="en-US" w:eastAsia="zh-CN"/>
                    </w:rPr>
                    <w:t>准限值。</w:t>
                  </w:r>
                </w:p>
              </w:tc>
            </w:tr>
            <w:tr w14:paraId="581E259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882" w:hRule="atLeast"/>
              </w:trPr>
              <w:tc>
                <w:tcPr>
                  <w:tcW w:w="0" w:type="auto"/>
                  <w:tcBorders>
                    <w:tl2br w:val="nil"/>
                    <w:tr2bl w:val="nil"/>
                  </w:tcBorders>
                  <w:vAlign w:val="center"/>
                </w:tcPr>
                <w:p w14:paraId="07B46BB1">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center"/>
                    <w:textAlignment w:val="baseline"/>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6</w:t>
                  </w:r>
                </w:p>
              </w:tc>
              <w:tc>
                <w:tcPr>
                  <w:tcW w:w="0" w:type="auto"/>
                  <w:tcBorders>
                    <w:tl2br w:val="nil"/>
                    <w:tr2bl w:val="nil"/>
                  </w:tcBorders>
                  <w:vAlign w:val="center"/>
                </w:tcPr>
                <w:p w14:paraId="00F314F7">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val="en-US" w:eastAsia="zh-CN"/>
                    </w:rPr>
                  </w:pPr>
                  <w:r>
                    <w:rPr>
                      <w:rFonts w:hint="default" w:ascii="Times New Roman" w:hAnsi="Times New Roman" w:eastAsia="宋体" w:cs="Times New Roman"/>
                      <w:spacing w:val="13"/>
                      <w:sz w:val="21"/>
                      <w:szCs w:val="21"/>
                      <w:lang w:val="en-US" w:eastAsia="zh-CN"/>
                    </w:rPr>
                    <w:t>加强环境风险防范，落实各项风险防范措施，制定突发环境事故应急预案，报开发区有关部门备案，并与开发区应急预案联动。加强化学品在运输和使用过程中的管理，分类贮存。贮存场所须按标准建设，应设自动报警装置和必要的应急防范措施，防止火灾、泄漏、爆炸。</w:t>
                  </w:r>
                </w:p>
              </w:tc>
              <w:tc>
                <w:tcPr>
                  <w:tcW w:w="0" w:type="auto"/>
                  <w:tcBorders>
                    <w:tl2br w:val="nil"/>
                    <w:tr2bl w:val="nil"/>
                  </w:tcBorders>
                  <w:vAlign w:val="center"/>
                </w:tcPr>
                <w:p w14:paraId="34933A79">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3"/>
                      <w:sz w:val="21"/>
                      <w:szCs w:val="21"/>
                      <w:lang w:val="en-US" w:eastAsia="zh-CN"/>
                    </w:rPr>
                  </w:pPr>
                  <w:r>
                    <w:rPr>
                      <w:rFonts w:hint="default" w:ascii="Times New Roman" w:hAnsi="Times New Roman" w:eastAsia="宋体" w:cs="Times New Roman"/>
                      <w:spacing w:val="13"/>
                      <w:sz w:val="21"/>
                      <w:szCs w:val="21"/>
                    </w:rPr>
                    <w:t>公司计划本实验室正式投运前制定突发环境事故应急预案。</w:t>
                  </w:r>
                </w:p>
              </w:tc>
            </w:tr>
            <w:tr w14:paraId="118C468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882" w:hRule="atLeast"/>
              </w:trPr>
              <w:tc>
                <w:tcPr>
                  <w:tcW w:w="0" w:type="auto"/>
                  <w:tcBorders>
                    <w:tl2br w:val="nil"/>
                    <w:tr2bl w:val="nil"/>
                  </w:tcBorders>
                  <w:vAlign w:val="center"/>
                </w:tcPr>
                <w:p w14:paraId="5841A1ED">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center"/>
                    <w:textAlignment w:val="baseline"/>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7</w:t>
                  </w:r>
                </w:p>
              </w:tc>
              <w:tc>
                <w:tcPr>
                  <w:tcW w:w="0" w:type="auto"/>
                  <w:tcBorders>
                    <w:tl2br w:val="nil"/>
                    <w:tr2bl w:val="nil"/>
                  </w:tcBorders>
                  <w:vAlign w:val="center"/>
                </w:tcPr>
                <w:p w14:paraId="7E3CB55E">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0"/>
                      <w:sz w:val="21"/>
                      <w:szCs w:val="21"/>
                      <w:lang w:val="en-US" w:eastAsia="zh-CN"/>
                    </w:rPr>
                  </w:pPr>
                  <w:r>
                    <w:rPr>
                      <w:rFonts w:hint="default" w:ascii="Times New Roman" w:hAnsi="Times New Roman" w:eastAsia="宋体" w:cs="Times New Roman"/>
                      <w:spacing w:val="10"/>
                      <w:sz w:val="21"/>
                      <w:szCs w:val="21"/>
                      <w:lang w:val="en-US" w:eastAsia="zh-CN"/>
                    </w:rPr>
                    <w:t>本项目经批准后，项目的性质、规模、地点、采用的生产工艺或者防治污染、防止生态破坏的措施发生重大变动的，须向我局重新报批。自批准之日起超过五年，方决定本项目开工建 设，应当报我局重新审核。</w:t>
                  </w:r>
                </w:p>
              </w:tc>
              <w:tc>
                <w:tcPr>
                  <w:tcW w:w="0" w:type="auto"/>
                  <w:tcBorders>
                    <w:tl2br w:val="nil"/>
                    <w:tr2bl w:val="nil"/>
                  </w:tcBorders>
                  <w:vAlign w:val="center"/>
                </w:tcPr>
                <w:p w14:paraId="3864E73E">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0"/>
                      <w:sz w:val="21"/>
                      <w:szCs w:val="21"/>
                      <w:lang w:val="en-US" w:eastAsia="zh-CN"/>
                    </w:rPr>
                  </w:pPr>
                  <w:r>
                    <w:rPr>
                      <w:rFonts w:hint="default" w:ascii="Times New Roman" w:hAnsi="Times New Roman" w:eastAsia="宋体" w:cs="Times New Roman"/>
                      <w:spacing w:val="10"/>
                      <w:sz w:val="21"/>
                      <w:szCs w:val="21"/>
                      <w:lang w:val="en-US" w:eastAsia="zh-CN"/>
                    </w:rPr>
                    <w:t>已落实。</w:t>
                  </w:r>
                </w:p>
                <w:p w14:paraId="5E4F79CB">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0"/>
                      <w:sz w:val="21"/>
                      <w:szCs w:val="21"/>
                      <w:lang w:val="en-US" w:eastAsia="zh-CN"/>
                    </w:rPr>
                  </w:pPr>
                  <w:r>
                    <w:rPr>
                      <w:rFonts w:hint="default" w:ascii="Times New Roman" w:hAnsi="Times New Roman" w:eastAsia="宋体" w:cs="Times New Roman"/>
                      <w:spacing w:val="10"/>
                      <w:sz w:val="21"/>
                      <w:szCs w:val="21"/>
                      <w:lang w:val="en-US" w:eastAsia="zh-CN"/>
                    </w:rPr>
                    <w:t>1、项目的性质、规模、地点、采用的生产工艺或者防治污染、防止生态破坏的措施未发生重大变动，不用重新报批。</w:t>
                  </w:r>
                </w:p>
                <w:p w14:paraId="29D33E01">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0"/>
                      <w:sz w:val="21"/>
                      <w:szCs w:val="21"/>
                      <w:lang w:val="en-US" w:eastAsia="zh-CN"/>
                    </w:rPr>
                  </w:pPr>
                  <w:r>
                    <w:rPr>
                      <w:rFonts w:hint="default" w:ascii="Times New Roman" w:hAnsi="Times New Roman" w:eastAsia="宋体" w:cs="Times New Roman"/>
                      <w:spacing w:val="10"/>
                      <w:sz w:val="21"/>
                      <w:szCs w:val="21"/>
                      <w:lang w:val="en-US" w:eastAsia="zh-CN"/>
                    </w:rPr>
                    <w:t>2、项目已建成。</w:t>
                  </w:r>
                </w:p>
              </w:tc>
            </w:tr>
            <w:tr w14:paraId="1883473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347" w:hRule="atLeast"/>
              </w:trPr>
              <w:tc>
                <w:tcPr>
                  <w:tcW w:w="0" w:type="auto"/>
                  <w:tcBorders>
                    <w:tl2br w:val="nil"/>
                    <w:tr2bl w:val="nil"/>
                  </w:tcBorders>
                  <w:vAlign w:val="center"/>
                </w:tcPr>
                <w:p w14:paraId="5FBC2447">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center"/>
                    <w:textAlignment w:val="baseline"/>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8</w:t>
                  </w:r>
                </w:p>
              </w:tc>
              <w:tc>
                <w:tcPr>
                  <w:tcW w:w="0" w:type="auto"/>
                  <w:tcBorders>
                    <w:tl2br w:val="nil"/>
                    <w:tr2bl w:val="nil"/>
                  </w:tcBorders>
                  <w:vAlign w:val="center"/>
                </w:tcPr>
                <w:p w14:paraId="211039E3">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0"/>
                      <w:sz w:val="21"/>
                      <w:szCs w:val="21"/>
                      <w:lang w:val="en-US" w:eastAsia="zh-CN"/>
                    </w:rPr>
                  </w:pPr>
                  <w:r>
                    <w:rPr>
                      <w:rFonts w:hint="default" w:ascii="Times New Roman" w:hAnsi="Times New Roman" w:eastAsia="宋体" w:cs="Times New Roman"/>
                      <w:spacing w:val="10"/>
                      <w:sz w:val="21"/>
                      <w:szCs w:val="21"/>
                      <w:lang w:val="en-US" w:eastAsia="zh-CN"/>
                    </w:rPr>
                    <w:t>本项目须严格执行环境保护“三同时”制度，工程完工后须按规定开展建设项目环境保护设施验收工作，依据有关规定申请排污许可。</w:t>
                  </w:r>
                </w:p>
              </w:tc>
              <w:tc>
                <w:tcPr>
                  <w:tcW w:w="0" w:type="auto"/>
                  <w:tcBorders>
                    <w:tl2br w:val="nil"/>
                    <w:tr2bl w:val="nil"/>
                  </w:tcBorders>
                  <w:vAlign w:val="center"/>
                </w:tcPr>
                <w:p w14:paraId="2131D42F">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0"/>
                      <w:sz w:val="21"/>
                      <w:szCs w:val="21"/>
                      <w:lang w:val="en-US" w:eastAsia="zh-CN"/>
                    </w:rPr>
                  </w:pPr>
                  <w:r>
                    <w:rPr>
                      <w:rFonts w:hint="default" w:ascii="Times New Roman" w:hAnsi="Times New Roman" w:eastAsia="宋体" w:cs="Times New Roman"/>
                      <w:spacing w:val="10"/>
                      <w:sz w:val="21"/>
                      <w:szCs w:val="21"/>
                      <w:lang w:val="en-US" w:eastAsia="zh-CN"/>
                    </w:rPr>
                    <w:t>已落实。</w:t>
                  </w:r>
                </w:p>
                <w:p w14:paraId="636CBB6E">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0"/>
                      <w:sz w:val="21"/>
                      <w:szCs w:val="21"/>
                      <w:lang w:val="en-US" w:eastAsia="zh-CN"/>
                    </w:rPr>
                  </w:pPr>
                  <w:r>
                    <w:rPr>
                      <w:rFonts w:hint="default" w:ascii="Times New Roman" w:hAnsi="Times New Roman" w:eastAsia="宋体" w:cs="Times New Roman"/>
                      <w:spacing w:val="10"/>
                      <w:sz w:val="21"/>
                      <w:szCs w:val="21"/>
                      <w:lang w:val="en-US" w:eastAsia="zh-CN"/>
                    </w:rPr>
                    <w:t>1、按照环境保护行政主管部门规定的标准和程序，对配套建设的环境保护设施进行验收，并依法向社会公开。</w:t>
                  </w:r>
                </w:p>
                <w:p w14:paraId="647F4325">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0"/>
                      <w:sz w:val="21"/>
                      <w:szCs w:val="21"/>
                      <w:lang w:val="en-US" w:eastAsia="zh-CN"/>
                    </w:rPr>
                  </w:pPr>
                  <w:r>
                    <w:rPr>
                      <w:rFonts w:hint="default" w:ascii="Times New Roman" w:hAnsi="Times New Roman" w:eastAsia="宋体" w:cs="Times New Roman"/>
                      <w:spacing w:val="10"/>
                      <w:sz w:val="21"/>
                      <w:szCs w:val="21"/>
                      <w:lang w:val="en-US" w:eastAsia="zh-CN"/>
                    </w:rPr>
                    <w:t>2、已申请排污许可证。</w:t>
                  </w:r>
                </w:p>
              </w:tc>
            </w:tr>
            <w:tr w14:paraId="04325C7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84" w:hRule="atLeast"/>
              </w:trPr>
              <w:tc>
                <w:tcPr>
                  <w:tcW w:w="0" w:type="auto"/>
                  <w:tcBorders>
                    <w:tl2br w:val="nil"/>
                    <w:tr2bl w:val="nil"/>
                  </w:tcBorders>
                  <w:vAlign w:val="center"/>
                </w:tcPr>
                <w:p w14:paraId="56E86F23">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center"/>
                    <w:textAlignment w:val="baseline"/>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9</w:t>
                  </w:r>
                </w:p>
              </w:tc>
              <w:tc>
                <w:tcPr>
                  <w:tcW w:w="0" w:type="auto"/>
                  <w:tcBorders>
                    <w:tl2br w:val="nil"/>
                    <w:tr2bl w:val="nil"/>
                  </w:tcBorders>
                  <w:vAlign w:val="center"/>
                </w:tcPr>
                <w:p w14:paraId="1D0D3B9A">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0"/>
                      <w:sz w:val="21"/>
                      <w:szCs w:val="21"/>
                      <w:lang w:val="en-US" w:eastAsia="zh-CN"/>
                    </w:rPr>
                  </w:pPr>
                  <w:r>
                    <w:rPr>
                      <w:rFonts w:hint="default" w:ascii="Times New Roman" w:hAnsi="Times New Roman" w:eastAsia="宋体" w:cs="Times New Roman"/>
                      <w:spacing w:val="10"/>
                      <w:sz w:val="21"/>
                      <w:szCs w:val="21"/>
                      <w:lang w:val="en-US" w:eastAsia="zh-CN"/>
                    </w:rPr>
                    <w:t>该项目投产后不得超过环评中申请的污染物排放总量。</w:t>
                  </w:r>
                </w:p>
              </w:tc>
              <w:tc>
                <w:tcPr>
                  <w:tcW w:w="0" w:type="auto"/>
                  <w:tcBorders>
                    <w:tl2br w:val="nil"/>
                    <w:tr2bl w:val="nil"/>
                  </w:tcBorders>
                  <w:vAlign w:val="center"/>
                </w:tcPr>
                <w:p w14:paraId="4CBCD4E7">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baseline"/>
                    <w:rPr>
                      <w:rFonts w:hint="default" w:ascii="Times New Roman" w:hAnsi="Times New Roman" w:eastAsia="宋体" w:cs="Times New Roman"/>
                      <w:spacing w:val="10"/>
                      <w:sz w:val="21"/>
                      <w:szCs w:val="21"/>
                      <w:lang w:val="en-US" w:eastAsia="zh-CN"/>
                    </w:rPr>
                  </w:pPr>
                  <w:r>
                    <w:rPr>
                      <w:rFonts w:hint="default" w:ascii="Times New Roman" w:hAnsi="Times New Roman" w:eastAsia="宋体" w:cs="Times New Roman"/>
                      <w:spacing w:val="10"/>
                      <w:sz w:val="21"/>
                      <w:szCs w:val="21"/>
                      <w:lang w:val="en-US" w:eastAsia="zh-CN"/>
                    </w:rPr>
                    <w:t>该项目投产后未超过环评中申请的污染物排放总量。</w:t>
                  </w:r>
                </w:p>
              </w:tc>
            </w:tr>
          </w:tbl>
          <w:p w14:paraId="0B7DB60E">
            <w:pPr>
              <w:pStyle w:val="2"/>
              <w:rPr>
                <w:rFonts w:hint="default" w:ascii="Times New Roman" w:hAnsi="Times New Roman" w:eastAsia="宋体" w:cs="Times New Roman"/>
                <w:color w:val="000000"/>
                <w:sz w:val="15"/>
                <w:szCs w:val="15"/>
              </w:rPr>
            </w:pPr>
          </w:p>
          <w:p w14:paraId="584D468D">
            <w:pPr>
              <w:rPr>
                <w:rFonts w:hint="default" w:ascii="Times New Roman" w:hAnsi="Times New Roman" w:eastAsia="宋体" w:cs="Times New Roman"/>
                <w:color w:val="000000"/>
                <w:sz w:val="15"/>
                <w:szCs w:val="15"/>
              </w:rPr>
            </w:pPr>
          </w:p>
          <w:p w14:paraId="5038B3FB">
            <w:pPr>
              <w:pStyle w:val="2"/>
              <w:rPr>
                <w:rFonts w:hint="default" w:ascii="Times New Roman" w:hAnsi="Times New Roman" w:eastAsia="宋体" w:cs="Times New Roman"/>
                <w:color w:val="000000"/>
                <w:sz w:val="15"/>
                <w:szCs w:val="15"/>
              </w:rPr>
            </w:pPr>
          </w:p>
          <w:p w14:paraId="7078E55B">
            <w:pPr>
              <w:rPr>
                <w:rFonts w:hint="default" w:ascii="Times New Roman" w:hAnsi="Times New Roman" w:eastAsia="宋体" w:cs="Times New Roman"/>
                <w:color w:val="000000"/>
                <w:sz w:val="15"/>
                <w:szCs w:val="15"/>
              </w:rPr>
            </w:pPr>
          </w:p>
          <w:p w14:paraId="162ABA6B">
            <w:pPr>
              <w:pStyle w:val="2"/>
              <w:rPr>
                <w:rFonts w:hint="default"/>
              </w:rPr>
            </w:pPr>
          </w:p>
          <w:p w14:paraId="011F3910">
            <w:pPr>
              <w:rPr>
                <w:rFonts w:hint="default"/>
              </w:rPr>
            </w:pPr>
          </w:p>
          <w:p w14:paraId="1A2D3C7C">
            <w:pPr>
              <w:rPr>
                <w:rFonts w:hint="default"/>
              </w:rPr>
            </w:pPr>
          </w:p>
          <w:p w14:paraId="0A123CF1">
            <w:pPr>
              <w:rPr>
                <w:rFonts w:hint="default"/>
              </w:rPr>
            </w:pPr>
          </w:p>
          <w:p w14:paraId="41DC27BF">
            <w:pPr>
              <w:rPr>
                <w:rFonts w:hint="default"/>
              </w:rPr>
            </w:pPr>
          </w:p>
          <w:p w14:paraId="42A37CB6">
            <w:pPr>
              <w:rPr>
                <w:rFonts w:hint="default"/>
              </w:rPr>
            </w:pPr>
          </w:p>
          <w:p w14:paraId="189B62E2">
            <w:pPr>
              <w:rPr>
                <w:rFonts w:hint="default"/>
              </w:rPr>
            </w:pPr>
          </w:p>
          <w:p w14:paraId="2423D4C2">
            <w:pPr>
              <w:rPr>
                <w:rFonts w:hint="default"/>
              </w:rPr>
            </w:pPr>
          </w:p>
          <w:p w14:paraId="18494E2F">
            <w:pPr>
              <w:rPr>
                <w:rFonts w:hint="default"/>
              </w:rPr>
            </w:pPr>
          </w:p>
          <w:p w14:paraId="41673CD0">
            <w:pPr>
              <w:rPr>
                <w:rFonts w:hint="default"/>
              </w:rPr>
            </w:pPr>
          </w:p>
          <w:p w14:paraId="228CEB9E">
            <w:pPr>
              <w:rPr>
                <w:rFonts w:hint="default"/>
              </w:rPr>
            </w:pPr>
          </w:p>
          <w:p w14:paraId="2C8579AD">
            <w:pPr>
              <w:rPr>
                <w:rFonts w:hint="default"/>
              </w:rPr>
            </w:pPr>
          </w:p>
          <w:p w14:paraId="76680BAF">
            <w:pPr>
              <w:rPr>
                <w:rFonts w:hint="default"/>
              </w:rPr>
            </w:pPr>
          </w:p>
          <w:p w14:paraId="1ED2EE35">
            <w:pPr>
              <w:rPr>
                <w:rFonts w:hint="default"/>
              </w:rPr>
            </w:pPr>
          </w:p>
          <w:p w14:paraId="0594AA1E">
            <w:pPr>
              <w:rPr>
                <w:rFonts w:hint="default"/>
              </w:rPr>
            </w:pPr>
          </w:p>
        </w:tc>
      </w:tr>
    </w:tbl>
    <w:p w14:paraId="6215BBC5">
      <w:pPr>
        <w:pStyle w:val="2"/>
        <w:rPr>
          <w:rFonts w:hint="default" w:ascii="Times New Roman" w:hAnsi="Times New Roman" w:eastAsia="宋体" w:cs="Times New Roman"/>
          <w:b/>
          <w:bCs w:val="0"/>
          <w:sz w:val="28"/>
          <w:szCs w:val="28"/>
        </w:rPr>
      </w:pPr>
      <w:r>
        <w:rPr>
          <w:rFonts w:hint="default" w:ascii="Times New Roman" w:hAnsi="Times New Roman" w:eastAsia="宋体" w:cs="Times New Roman"/>
          <w:b/>
          <w:bCs w:val="0"/>
          <w:sz w:val="28"/>
          <w:szCs w:val="28"/>
        </w:rPr>
        <w:t>表五</w:t>
      </w:r>
    </w:p>
    <w:tbl>
      <w:tblPr>
        <w:tblStyle w:val="29"/>
        <w:tblW w:w="5000" w:type="pct"/>
        <w:jc w:val="center"/>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fixed"/>
        <w:tblCellMar>
          <w:top w:w="0" w:type="dxa"/>
          <w:left w:w="108" w:type="dxa"/>
          <w:bottom w:w="0" w:type="dxa"/>
          <w:right w:w="108" w:type="dxa"/>
        </w:tblCellMar>
      </w:tblPr>
      <w:tblGrid>
        <w:gridCol w:w="9287"/>
      </w:tblGrid>
      <w:tr w14:paraId="1A4FFBC3">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841" w:hRule="atLeast"/>
          <w:jc w:val="center"/>
        </w:trPr>
        <w:tc>
          <w:tcPr>
            <w:tcW w:w="5000" w:type="pct"/>
            <w:vAlign w:val="center"/>
          </w:tcPr>
          <w:p w14:paraId="1101D8AE">
            <w:pPr>
              <w:adjustRightInd w:val="0"/>
              <w:snapToGrid w:val="0"/>
              <w:spacing w:before="120" w:beforeLines="50" w:line="360" w:lineRule="auto"/>
              <w:rPr>
                <w:rFonts w:hint="default" w:ascii="Times New Roman" w:hAnsi="Times New Roman" w:eastAsia="宋体" w:cs="Times New Roman"/>
                <w:b/>
                <w:sz w:val="28"/>
                <w:szCs w:val="28"/>
              </w:rPr>
            </w:pPr>
            <w:r>
              <w:rPr>
                <w:rFonts w:hint="default" w:ascii="Times New Roman" w:hAnsi="Times New Roman" w:eastAsia="宋体" w:cs="Times New Roman"/>
                <w:b/>
                <w:sz w:val="28"/>
                <w:szCs w:val="28"/>
              </w:rPr>
              <w:t>验收监测质量保证及质量控制：</w:t>
            </w:r>
          </w:p>
          <w:p w14:paraId="635A528B">
            <w:pPr>
              <w:adjustRightInd w:val="0"/>
              <w:snapToGrid w:val="0"/>
              <w:spacing w:line="360" w:lineRule="auto"/>
              <w:ind w:firstLine="482" w:firstLineChars="200"/>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 xml:space="preserve">一、监测分析方法  </w:t>
            </w:r>
          </w:p>
          <w:p w14:paraId="6E1DA77A">
            <w:pPr>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根据中谱（北京）测试科技有限公司</w:t>
            </w:r>
            <w:r>
              <w:rPr>
                <w:rFonts w:hint="eastAsia" w:ascii="Times New Roman" w:hAnsi="Times New Roman" w:eastAsia="宋体" w:cs="Times New Roman"/>
                <w:sz w:val="24"/>
                <w:szCs w:val="24"/>
                <w:lang w:val="en-US" w:eastAsia="zh-CN"/>
              </w:rPr>
              <w:t>及壹检(北京)生物科技有限公司</w:t>
            </w:r>
            <w:r>
              <w:rPr>
                <w:rFonts w:hint="default" w:ascii="Times New Roman" w:hAnsi="Times New Roman" w:eastAsia="宋体" w:cs="Times New Roman"/>
                <w:sz w:val="24"/>
                <w:szCs w:val="24"/>
              </w:rPr>
              <w:t>出具的本项目检测报告，本项目验收监测分析方法详见表5-1。</w:t>
            </w:r>
          </w:p>
          <w:p w14:paraId="329468EA">
            <w:pPr>
              <w:adjustRightInd w:val="0"/>
              <w:snapToGrid w:val="0"/>
              <w:spacing w:line="360" w:lineRule="auto"/>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表5-1监测分析方法</w:t>
            </w:r>
          </w:p>
          <w:tbl>
            <w:tblPr>
              <w:tblStyle w:val="30"/>
              <w:tblW w:w="9237" w:type="dxa"/>
              <w:tblInd w:w="-105"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671"/>
              <w:gridCol w:w="1582"/>
              <w:gridCol w:w="4097"/>
              <w:gridCol w:w="1583"/>
              <w:gridCol w:w="1304"/>
            </w:tblGrid>
            <w:tr w14:paraId="7757E99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363" w:type="pct"/>
                  <w:tcBorders>
                    <w:tl2br w:val="nil"/>
                    <w:tr2bl w:val="nil"/>
                  </w:tcBorders>
                  <w:vAlign w:val="center"/>
                </w:tcPr>
                <w:p w14:paraId="516D7C63">
                  <w:pPr>
                    <w:jc w:val="center"/>
                    <w:rPr>
                      <w:rFonts w:hint="default" w:ascii="Times New Roman" w:hAnsi="Times New Roman" w:eastAsia="宋体" w:cs="Times New Roman"/>
                      <w:b/>
                      <w:sz w:val="21"/>
                      <w:szCs w:val="21"/>
                      <w:highlight w:val="none"/>
                    </w:rPr>
                  </w:pPr>
                  <w:r>
                    <w:rPr>
                      <w:rFonts w:hint="default" w:ascii="Times New Roman" w:hAnsi="Times New Roman" w:eastAsia="宋体" w:cs="Times New Roman"/>
                      <w:b/>
                      <w:sz w:val="21"/>
                      <w:szCs w:val="21"/>
                      <w:highlight w:val="none"/>
                    </w:rPr>
                    <w:t>监测</w:t>
                  </w:r>
                </w:p>
                <w:p w14:paraId="2967DEB7">
                  <w:pPr>
                    <w:jc w:val="center"/>
                    <w:rPr>
                      <w:rFonts w:hint="default" w:ascii="Times New Roman" w:hAnsi="Times New Roman" w:eastAsia="宋体" w:cs="Times New Roman"/>
                      <w:b/>
                      <w:sz w:val="21"/>
                      <w:szCs w:val="21"/>
                      <w:highlight w:val="none"/>
                    </w:rPr>
                  </w:pPr>
                  <w:r>
                    <w:rPr>
                      <w:rFonts w:hint="default" w:ascii="Times New Roman" w:hAnsi="Times New Roman" w:eastAsia="宋体" w:cs="Times New Roman"/>
                      <w:b/>
                      <w:sz w:val="21"/>
                      <w:szCs w:val="21"/>
                      <w:highlight w:val="none"/>
                    </w:rPr>
                    <w:t>类别</w:t>
                  </w:r>
                </w:p>
              </w:tc>
              <w:tc>
                <w:tcPr>
                  <w:tcW w:w="856" w:type="pct"/>
                  <w:tcBorders>
                    <w:tl2br w:val="nil"/>
                    <w:tr2bl w:val="nil"/>
                  </w:tcBorders>
                  <w:vAlign w:val="center"/>
                </w:tcPr>
                <w:p w14:paraId="4BB7E397">
                  <w:pPr>
                    <w:jc w:val="center"/>
                    <w:rPr>
                      <w:rFonts w:hint="default" w:ascii="Times New Roman" w:hAnsi="Times New Roman" w:eastAsia="宋体" w:cs="Times New Roman"/>
                      <w:b/>
                      <w:sz w:val="21"/>
                      <w:szCs w:val="21"/>
                      <w:highlight w:val="none"/>
                    </w:rPr>
                  </w:pPr>
                  <w:r>
                    <w:rPr>
                      <w:rFonts w:hint="default" w:ascii="Times New Roman" w:hAnsi="Times New Roman" w:eastAsia="宋体" w:cs="Times New Roman"/>
                      <w:b/>
                      <w:sz w:val="21"/>
                      <w:szCs w:val="21"/>
                      <w:highlight w:val="none"/>
                    </w:rPr>
                    <w:t>监测</w:t>
                  </w:r>
                </w:p>
                <w:p w14:paraId="492ABA48">
                  <w:pPr>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b/>
                      <w:sz w:val="21"/>
                      <w:szCs w:val="21"/>
                      <w:highlight w:val="none"/>
                    </w:rPr>
                    <w:t>项目</w:t>
                  </w:r>
                </w:p>
              </w:tc>
              <w:tc>
                <w:tcPr>
                  <w:tcW w:w="2217" w:type="pct"/>
                  <w:tcBorders>
                    <w:tl2br w:val="nil"/>
                    <w:tr2bl w:val="nil"/>
                  </w:tcBorders>
                  <w:vAlign w:val="center"/>
                </w:tcPr>
                <w:p w14:paraId="41B724C5">
                  <w:pPr>
                    <w:jc w:val="center"/>
                    <w:rPr>
                      <w:rFonts w:hint="default" w:ascii="Times New Roman" w:hAnsi="Times New Roman" w:eastAsia="宋体" w:cs="Times New Roman"/>
                      <w:color w:val="FF0000"/>
                      <w:sz w:val="21"/>
                      <w:szCs w:val="21"/>
                      <w:highlight w:val="none"/>
                    </w:rPr>
                  </w:pPr>
                  <w:r>
                    <w:rPr>
                      <w:rFonts w:hint="default" w:ascii="Times New Roman" w:hAnsi="Times New Roman" w:eastAsia="宋体" w:cs="Times New Roman"/>
                      <w:b/>
                      <w:color w:val="000000" w:themeColor="text1"/>
                      <w:sz w:val="21"/>
                      <w:szCs w:val="21"/>
                      <w:highlight w:val="none"/>
                      <w14:textFill>
                        <w14:solidFill>
                          <w14:schemeClr w14:val="tx1"/>
                        </w14:solidFill>
                      </w14:textFill>
                    </w:rPr>
                    <w:t>检测依据</w:t>
                  </w:r>
                </w:p>
              </w:tc>
              <w:tc>
                <w:tcPr>
                  <w:tcW w:w="856" w:type="pct"/>
                  <w:tcBorders>
                    <w:tl2br w:val="nil"/>
                    <w:tr2bl w:val="nil"/>
                  </w:tcBorders>
                  <w:vAlign w:val="center"/>
                </w:tcPr>
                <w:p w14:paraId="7056508C">
                  <w:pPr>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b/>
                      <w:sz w:val="21"/>
                      <w:szCs w:val="21"/>
                      <w:highlight w:val="none"/>
                    </w:rPr>
                    <w:t>标准号</w:t>
                  </w:r>
                </w:p>
              </w:tc>
              <w:tc>
                <w:tcPr>
                  <w:tcW w:w="705" w:type="pct"/>
                  <w:tcBorders>
                    <w:tl2br w:val="nil"/>
                    <w:tr2bl w:val="nil"/>
                  </w:tcBorders>
                  <w:vAlign w:val="center"/>
                </w:tcPr>
                <w:p w14:paraId="2E85D70E">
                  <w:pPr>
                    <w:jc w:val="center"/>
                    <w:rPr>
                      <w:rFonts w:hint="default" w:ascii="Times New Roman" w:hAnsi="Times New Roman" w:eastAsia="宋体" w:cs="Times New Roman"/>
                      <w:b/>
                      <w:sz w:val="21"/>
                      <w:szCs w:val="21"/>
                      <w:highlight w:val="none"/>
                    </w:rPr>
                  </w:pPr>
                  <w:r>
                    <w:rPr>
                      <w:rFonts w:hint="default" w:ascii="Times New Roman" w:hAnsi="Times New Roman" w:eastAsia="宋体" w:cs="Times New Roman"/>
                      <w:b/>
                      <w:sz w:val="21"/>
                      <w:szCs w:val="21"/>
                      <w:highlight w:val="none"/>
                    </w:rPr>
                    <w:t>最低检出限</w:t>
                  </w:r>
                </w:p>
              </w:tc>
            </w:tr>
            <w:tr w14:paraId="0F9E52D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363" w:type="pct"/>
                  <w:vMerge w:val="restart"/>
                  <w:tcBorders>
                    <w:tl2br w:val="nil"/>
                    <w:tr2bl w:val="nil"/>
                  </w:tcBorders>
                  <w:vAlign w:val="center"/>
                </w:tcPr>
                <w:p w14:paraId="30BEE973">
                  <w:pPr>
                    <w:autoSpaceDE w:val="0"/>
                    <w:jc w:val="center"/>
                    <w:rPr>
                      <w:rFonts w:hint="default" w:ascii="Times New Roman" w:hAnsi="Times New Roman" w:eastAsia="宋体" w:cs="Times New Roman"/>
                      <w:sz w:val="21"/>
                      <w:szCs w:val="21"/>
                      <w:highlight w:val="none"/>
                      <w:lang w:val="en-US" w:eastAsia="zh-CN" w:bidi="ar"/>
                    </w:rPr>
                  </w:pPr>
                  <w:r>
                    <w:rPr>
                      <w:rFonts w:hint="default" w:ascii="Times New Roman" w:hAnsi="Times New Roman" w:eastAsia="宋体" w:cs="Times New Roman"/>
                      <w:sz w:val="21"/>
                      <w:szCs w:val="21"/>
                      <w:highlight w:val="none"/>
                      <w:lang w:val="en-US" w:eastAsia="zh-CN" w:bidi="ar"/>
                    </w:rPr>
                    <w:t>废水</w:t>
                  </w:r>
                </w:p>
              </w:tc>
              <w:tc>
                <w:tcPr>
                  <w:tcW w:w="856" w:type="pct"/>
                  <w:tcBorders>
                    <w:tl2br w:val="nil"/>
                    <w:tr2bl w:val="nil"/>
                  </w:tcBorders>
                  <w:vAlign w:val="center"/>
                </w:tcPr>
                <w:p w14:paraId="3BE4AF27">
                  <w:pPr>
                    <w:widowControl/>
                    <w:jc w:val="center"/>
                    <w:rPr>
                      <w:rFonts w:hint="default" w:ascii="Times New Roman" w:hAnsi="Times New Roman" w:eastAsia="宋体" w:cs="Times New Roman"/>
                      <w:sz w:val="21"/>
                      <w:szCs w:val="21"/>
                      <w:highlight w:val="none"/>
                      <w:lang w:val="en-US" w:eastAsia="zh-CN" w:bidi="ar"/>
                    </w:rPr>
                  </w:pPr>
                  <w:r>
                    <w:rPr>
                      <w:rFonts w:hint="default" w:ascii="Times New Roman" w:hAnsi="Times New Roman" w:eastAsia="宋体" w:cs="Times New Roman"/>
                      <w:kern w:val="0"/>
                      <w:sz w:val="21"/>
                      <w:szCs w:val="21"/>
                      <w:highlight w:val="none"/>
                      <w:lang w:val="en-US" w:eastAsia="zh-CN"/>
                    </w:rPr>
                    <w:t>五日生化需氧量（BOD5）</w:t>
                  </w:r>
                </w:p>
              </w:tc>
              <w:tc>
                <w:tcPr>
                  <w:tcW w:w="2217" w:type="pct"/>
                  <w:tcBorders>
                    <w:tl2br w:val="nil"/>
                    <w:tr2bl w:val="nil"/>
                  </w:tcBorders>
                  <w:vAlign w:val="center"/>
                </w:tcPr>
                <w:p w14:paraId="7A1BB788">
                  <w:pPr>
                    <w:widowControl/>
                    <w:jc w:val="center"/>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lang w:val="en-US" w:eastAsia="zh-CN"/>
                    </w:rPr>
                    <w:t>《水质 五日生化需氧量（BOD5）的测定 稀释与接种法》</w:t>
                  </w:r>
                </w:p>
              </w:tc>
              <w:tc>
                <w:tcPr>
                  <w:tcW w:w="856" w:type="pct"/>
                  <w:tcBorders>
                    <w:tl2br w:val="nil"/>
                    <w:tr2bl w:val="nil"/>
                  </w:tcBorders>
                  <w:vAlign w:val="center"/>
                </w:tcPr>
                <w:p w14:paraId="7547D1E6">
                  <w:pPr>
                    <w:widowControl/>
                    <w:jc w:val="center"/>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lang w:val="en-US" w:eastAsia="zh-CN"/>
                    </w:rPr>
                    <w:t>HJ 505-2009</w:t>
                  </w:r>
                </w:p>
              </w:tc>
              <w:tc>
                <w:tcPr>
                  <w:tcW w:w="705" w:type="pct"/>
                  <w:tcBorders>
                    <w:tl2br w:val="nil"/>
                    <w:tr2bl w:val="nil"/>
                  </w:tcBorders>
                  <w:vAlign w:val="center"/>
                </w:tcPr>
                <w:p w14:paraId="239C5CA1">
                  <w:pPr>
                    <w:widowControl/>
                    <w:jc w:val="center"/>
                    <w:rPr>
                      <w:rFonts w:hint="default" w:ascii="Times New Roman" w:hAnsi="Times New Roman" w:eastAsia="宋体" w:cs="Times New Roman"/>
                      <w:sz w:val="21"/>
                      <w:szCs w:val="21"/>
                      <w:highlight w:val="none"/>
                      <w:lang w:bidi="ar"/>
                    </w:rPr>
                  </w:pPr>
                  <w:r>
                    <w:rPr>
                      <w:rFonts w:hint="default" w:ascii="Times New Roman" w:hAnsi="Times New Roman" w:eastAsia="宋体" w:cs="Times New Roman"/>
                      <w:kern w:val="0"/>
                      <w:sz w:val="21"/>
                      <w:szCs w:val="21"/>
                      <w:highlight w:val="none"/>
                      <w:lang w:val="en-US" w:eastAsia="zh-CN"/>
                    </w:rPr>
                    <w:t>0.5mg/L</w:t>
                  </w:r>
                </w:p>
              </w:tc>
            </w:tr>
            <w:tr w14:paraId="68FD836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363" w:type="pct"/>
                  <w:vMerge w:val="continue"/>
                  <w:tcBorders>
                    <w:tl2br w:val="nil"/>
                    <w:tr2bl w:val="nil"/>
                  </w:tcBorders>
                  <w:vAlign w:val="center"/>
                </w:tcPr>
                <w:p w14:paraId="7BF89C74">
                  <w:pPr>
                    <w:autoSpaceDE w:val="0"/>
                    <w:jc w:val="center"/>
                    <w:rPr>
                      <w:rFonts w:hint="default" w:ascii="Times New Roman" w:hAnsi="Times New Roman" w:eastAsia="宋体" w:cs="Times New Roman"/>
                      <w:sz w:val="21"/>
                      <w:szCs w:val="21"/>
                      <w:highlight w:val="none"/>
                      <w:lang w:bidi="ar"/>
                    </w:rPr>
                  </w:pPr>
                </w:p>
              </w:tc>
              <w:tc>
                <w:tcPr>
                  <w:tcW w:w="856" w:type="pct"/>
                  <w:tcBorders>
                    <w:tl2br w:val="nil"/>
                    <w:tr2bl w:val="nil"/>
                  </w:tcBorders>
                  <w:vAlign w:val="center"/>
                </w:tcPr>
                <w:p w14:paraId="4D6CC580">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全盐量（可溶性固体总量）</w:t>
                  </w:r>
                </w:p>
              </w:tc>
              <w:tc>
                <w:tcPr>
                  <w:tcW w:w="2217" w:type="pct"/>
                  <w:tcBorders>
                    <w:tl2br w:val="nil"/>
                    <w:tr2bl w:val="nil"/>
                  </w:tcBorders>
                  <w:vAlign w:val="center"/>
                </w:tcPr>
                <w:p w14:paraId="4788AAFD">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《水质 全盐量的测定 重量法》</w:t>
                  </w:r>
                </w:p>
              </w:tc>
              <w:tc>
                <w:tcPr>
                  <w:tcW w:w="856" w:type="pct"/>
                  <w:tcBorders>
                    <w:tl2br w:val="nil"/>
                    <w:tr2bl w:val="nil"/>
                  </w:tcBorders>
                  <w:vAlign w:val="center"/>
                </w:tcPr>
                <w:p w14:paraId="0C03F4B4">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HJ51-2024</w:t>
                  </w:r>
                </w:p>
              </w:tc>
              <w:tc>
                <w:tcPr>
                  <w:tcW w:w="705" w:type="pct"/>
                  <w:tcBorders>
                    <w:tl2br w:val="nil"/>
                    <w:tr2bl w:val="nil"/>
                  </w:tcBorders>
                  <w:vAlign w:val="center"/>
                </w:tcPr>
                <w:p w14:paraId="294885BE">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25mg/L</w:t>
                  </w:r>
                </w:p>
              </w:tc>
            </w:tr>
            <w:tr w14:paraId="1DF2512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8" w:hRule="atLeast"/>
              </w:trPr>
              <w:tc>
                <w:tcPr>
                  <w:tcW w:w="363" w:type="pct"/>
                  <w:vMerge w:val="continue"/>
                  <w:tcBorders>
                    <w:tl2br w:val="nil"/>
                    <w:tr2bl w:val="nil"/>
                  </w:tcBorders>
                  <w:vAlign w:val="center"/>
                </w:tcPr>
                <w:p w14:paraId="425F0E6E">
                  <w:pPr>
                    <w:autoSpaceDE w:val="0"/>
                    <w:jc w:val="center"/>
                    <w:rPr>
                      <w:rFonts w:hint="default" w:ascii="Times New Roman" w:hAnsi="Times New Roman" w:eastAsia="宋体" w:cs="Times New Roman"/>
                      <w:sz w:val="21"/>
                      <w:szCs w:val="21"/>
                      <w:highlight w:val="none"/>
                    </w:rPr>
                  </w:pPr>
                </w:p>
              </w:tc>
              <w:tc>
                <w:tcPr>
                  <w:tcW w:w="856" w:type="pct"/>
                  <w:tcBorders>
                    <w:tl2br w:val="nil"/>
                    <w:tr2bl w:val="nil"/>
                  </w:tcBorders>
                  <w:shd w:val="clear" w:color="auto" w:fill="auto"/>
                  <w:vAlign w:val="center"/>
                </w:tcPr>
                <w:p w14:paraId="5A42C727">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化学需氧量</w:t>
                  </w:r>
                </w:p>
              </w:tc>
              <w:tc>
                <w:tcPr>
                  <w:tcW w:w="2217" w:type="pct"/>
                  <w:tcBorders>
                    <w:tl2br w:val="nil"/>
                    <w:tr2bl w:val="nil"/>
                  </w:tcBorders>
                  <w:shd w:val="clear" w:color="auto" w:fill="auto"/>
                  <w:vAlign w:val="center"/>
                </w:tcPr>
                <w:p w14:paraId="1014B076">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《水质 化学需氧量的测定 重铬酸盐法》</w:t>
                  </w:r>
                </w:p>
              </w:tc>
              <w:tc>
                <w:tcPr>
                  <w:tcW w:w="856" w:type="pct"/>
                  <w:tcBorders>
                    <w:tl2br w:val="nil"/>
                    <w:tr2bl w:val="nil"/>
                  </w:tcBorders>
                  <w:shd w:val="clear" w:color="auto" w:fill="auto"/>
                  <w:vAlign w:val="center"/>
                </w:tcPr>
                <w:p w14:paraId="775C39D2">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HJ828-2017</w:t>
                  </w:r>
                </w:p>
              </w:tc>
              <w:tc>
                <w:tcPr>
                  <w:tcW w:w="705" w:type="pct"/>
                  <w:tcBorders>
                    <w:tl2br w:val="nil"/>
                    <w:tr2bl w:val="nil"/>
                  </w:tcBorders>
                  <w:shd w:val="clear" w:color="auto" w:fill="auto"/>
                  <w:vAlign w:val="center"/>
                </w:tcPr>
                <w:p w14:paraId="7DFFA430">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4mg/L</w:t>
                  </w:r>
                </w:p>
              </w:tc>
            </w:tr>
            <w:tr w14:paraId="054A203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8" w:hRule="atLeast"/>
              </w:trPr>
              <w:tc>
                <w:tcPr>
                  <w:tcW w:w="363" w:type="pct"/>
                  <w:vMerge w:val="continue"/>
                  <w:tcBorders>
                    <w:tl2br w:val="nil"/>
                    <w:tr2bl w:val="nil"/>
                  </w:tcBorders>
                  <w:vAlign w:val="center"/>
                </w:tcPr>
                <w:p w14:paraId="745EE466">
                  <w:pPr>
                    <w:autoSpaceDE w:val="0"/>
                    <w:jc w:val="center"/>
                    <w:rPr>
                      <w:rFonts w:hint="default" w:ascii="Times New Roman" w:hAnsi="Times New Roman" w:eastAsia="宋体" w:cs="Times New Roman"/>
                      <w:sz w:val="21"/>
                      <w:szCs w:val="21"/>
                      <w:highlight w:val="none"/>
                    </w:rPr>
                  </w:pPr>
                </w:p>
              </w:tc>
              <w:tc>
                <w:tcPr>
                  <w:tcW w:w="856" w:type="pct"/>
                  <w:tcBorders>
                    <w:tl2br w:val="nil"/>
                    <w:tr2bl w:val="nil"/>
                  </w:tcBorders>
                  <w:shd w:val="clear" w:color="auto" w:fill="auto"/>
                  <w:vAlign w:val="center"/>
                </w:tcPr>
                <w:p w14:paraId="2FFB15AE">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悬浮物</w:t>
                  </w:r>
                </w:p>
              </w:tc>
              <w:tc>
                <w:tcPr>
                  <w:tcW w:w="2217" w:type="pct"/>
                  <w:tcBorders>
                    <w:tl2br w:val="nil"/>
                    <w:tr2bl w:val="nil"/>
                  </w:tcBorders>
                  <w:shd w:val="clear" w:color="auto" w:fill="auto"/>
                  <w:vAlign w:val="center"/>
                </w:tcPr>
                <w:p w14:paraId="55777429">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《水质 悬浮物的测定 重量法》</w:t>
                  </w:r>
                </w:p>
              </w:tc>
              <w:tc>
                <w:tcPr>
                  <w:tcW w:w="856" w:type="pct"/>
                  <w:tcBorders>
                    <w:tl2br w:val="nil"/>
                    <w:tr2bl w:val="nil"/>
                  </w:tcBorders>
                  <w:shd w:val="clear" w:color="auto" w:fill="auto"/>
                  <w:vAlign w:val="center"/>
                </w:tcPr>
                <w:p w14:paraId="21588001">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GB11901-1989</w:t>
                  </w:r>
                </w:p>
              </w:tc>
              <w:tc>
                <w:tcPr>
                  <w:tcW w:w="705" w:type="pct"/>
                  <w:tcBorders>
                    <w:tl2br w:val="nil"/>
                    <w:tr2bl w:val="nil"/>
                  </w:tcBorders>
                  <w:shd w:val="clear" w:color="auto" w:fill="auto"/>
                  <w:vAlign w:val="center"/>
                </w:tcPr>
                <w:p w14:paraId="3C7D6D21">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5</w:t>
                  </w:r>
                  <w:r>
                    <w:rPr>
                      <w:rFonts w:hint="default" w:ascii="Times New Roman" w:hAnsi="Times New Roman" w:eastAsia="宋体" w:cs="Times New Roman"/>
                      <w:kern w:val="0"/>
                      <w:sz w:val="21"/>
                      <w:szCs w:val="21"/>
                      <w:highlight w:val="none"/>
                      <w:lang w:val="zh-TW" w:eastAsia="zh-CN"/>
                    </w:rPr>
                    <w:t>mg/L</w:t>
                  </w:r>
                </w:p>
              </w:tc>
            </w:tr>
            <w:tr w14:paraId="3ADA8AC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8" w:hRule="atLeast"/>
              </w:trPr>
              <w:tc>
                <w:tcPr>
                  <w:tcW w:w="363" w:type="pct"/>
                  <w:vMerge w:val="continue"/>
                  <w:tcBorders>
                    <w:tl2br w:val="nil"/>
                    <w:tr2bl w:val="nil"/>
                  </w:tcBorders>
                  <w:vAlign w:val="center"/>
                </w:tcPr>
                <w:p w14:paraId="2E1B5004">
                  <w:pPr>
                    <w:autoSpaceDE w:val="0"/>
                    <w:jc w:val="center"/>
                    <w:rPr>
                      <w:rFonts w:hint="default" w:ascii="Times New Roman" w:hAnsi="Times New Roman" w:eastAsia="宋体" w:cs="Times New Roman"/>
                      <w:sz w:val="21"/>
                      <w:szCs w:val="21"/>
                      <w:highlight w:val="none"/>
                    </w:rPr>
                  </w:pPr>
                </w:p>
              </w:tc>
              <w:tc>
                <w:tcPr>
                  <w:tcW w:w="856" w:type="pct"/>
                  <w:tcBorders>
                    <w:tl2br w:val="nil"/>
                    <w:tr2bl w:val="nil"/>
                  </w:tcBorders>
                  <w:shd w:val="clear" w:color="auto" w:fill="auto"/>
                  <w:vAlign w:val="center"/>
                </w:tcPr>
                <w:p w14:paraId="2E2DA4F1">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氨氮</w:t>
                  </w:r>
                </w:p>
              </w:tc>
              <w:tc>
                <w:tcPr>
                  <w:tcW w:w="2217" w:type="pct"/>
                  <w:tcBorders>
                    <w:tl2br w:val="nil"/>
                    <w:tr2bl w:val="nil"/>
                  </w:tcBorders>
                  <w:shd w:val="clear" w:color="auto" w:fill="auto"/>
                  <w:vAlign w:val="center"/>
                </w:tcPr>
                <w:p w14:paraId="1930AFDF">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《水质 氨氮的测定 纳氏试剂分光光度法》</w:t>
                  </w:r>
                </w:p>
              </w:tc>
              <w:tc>
                <w:tcPr>
                  <w:tcW w:w="856" w:type="pct"/>
                  <w:tcBorders>
                    <w:tl2br w:val="nil"/>
                    <w:tr2bl w:val="nil"/>
                  </w:tcBorders>
                  <w:shd w:val="clear" w:color="auto" w:fill="auto"/>
                  <w:vAlign w:val="center"/>
                </w:tcPr>
                <w:p w14:paraId="5FB17527">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HJ535-2009</w:t>
                  </w:r>
                </w:p>
              </w:tc>
              <w:tc>
                <w:tcPr>
                  <w:tcW w:w="705" w:type="pct"/>
                  <w:tcBorders>
                    <w:tl2br w:val="nil"/>
                    <w:tr2bl w:val="nil"/>
                  </w:tcBorders>
                  <w:shd w:val="clear" w:color="auto" w:fill="auto"/>
                  <w:vAlign w:val="center"/>
                </w:tcPr>
                <w:p w14:paraId="433CA362">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0.025mg/L</w:t>
                  </w:r>
                </w:p>
              </w:tc>
            </w:tr>
            <w:tr w14:paraId="304E090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363" w:type="pct"/>
                  <w:vMerge w:val="restart"/>
                  <w:tcBorders>
                    <w:tl2br w:val="nil"/>
                    <w:tr2bl w:val="nil"/>
                  </w:tcBorders>
                  <w:vAlign w:val="center"/>
                </w:tcPr>
                <w:p w14:paraId="0C305439">
                  <w:pPr>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废气</w:t>
                  </w:r>
                </w:p>
              </w:tc>
              <w:tc>
                <w:tcPr>
                  <w:tcW w:w="856" w:type="pct"/>
                  <w:tcBorders>
                    <w:tl2br w:val="nil"/>
                    <w:tr2bl w:val="nil"/>
                  </w:tcBorders>
                  <w:vAlign w:val="center"/>
                </w:tcPr>
                <w:p w14:paraId="053AC356">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color w:val="auto"/>
                      <w:kern w:val="0"/>
                      <w:sz w:val="21"/>
                      <w:szCs w:val="21"/>
                      <w:highlight w:val="none"/>
                    </w:rPr>
                    <w:t>烟气参数</w:t>
                  </w:r>
                  <w:r>
                    <w:rPr>
                      <w:rFonts w:hint="default" w:ascii="Times New Roman" w:hAnsi="Times New Roman" w:eastAsia="宋体" w:cs="Times New Roman"/>
                      <w:color w:val="auto"/>
                      <w:kern w:val="0"/>
                      <w:sz w:val="21"/>
                      <w:szCs w:val="21"/>
                      <w:highlight w:val="none"/>
                      <w:lang w:val="en-US" w:eastAsia="zh-CN"/>
                    </w:rPr>
                    <w:t>及采样仪器</w:t>
                  </w:r>
                </w:p>
              </w:tc>
              <w:tc>
                <w:tcPr>
                  <w:tcW w:w="2217" w:type="pct"/>
                  <w:tcBorders>
                    <w:tl2br w:val="nil"/>
                    <w:tr2bl w:val="nil"/>
                  </w:tcBorders>
                  <w:vAlign w:val="center"/>
                </w:tcPr>
                <w:p w14:paraId="29DCBCBC">
                  <w:pPr>
                    <w:jc w:val="center"/>
                    <w:rPr>
                      <w:rFonts w:hint="default" w:ascii="Times New Roman" w:hAnsi="Times New Roman" w:eastAsia="宋体" w:cs="Times New Roman"/>
                      <w:color w:val="000000"/>
                      <w:sz w:val="21"/>
                      <w:szCs w:val="21"/>
                      <w:highlight w:val="none"/>
                    </w:rPr>
                  </w:pPr>
                  <w:r>
                    <w:rPr>
                      <w:rFonts w:hint="default" w:ascii="Times New Roman" w:hAnsi="Times New Roman" w:eastAsia="宋体" w:cs="Times New Roman"/>
                      <w:color w:val="auto"/>
                      <w:sz w:val="21"/>
                      <w:szCs w:val="21"/>
                      <w:highlight w:val="none"/>
                    </w:rPr>
                    <w:t>《固定污染源排气中颗粒物测定与气态污染物采样方法及修改单》</w:t>
                  </w:r>
                </w:p>
              </w:tc>
              <w:tc>
                <w:tcPr>
                  <w:tcW w:w="856" w:type="pct"/>
                  <w:tcBorders>
                    <w:tl2br w:val="nil"/>
                    <w:tr2bl w:val="nil"/>
                  </w:tcBorders>
                  <w:vAlign w:val="center"/>
                </w:tcPr>
                <w:p w14:paraId="42F8C879">
                  <w:pPr>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GB/T</w:t>
                  </w:r>
                </w:p>
                <w:p w14:paraId="0B44A390">
                  <w:pPr>
                    <w:jc w:val="center"/>
                    <w:rPr>
                      <w:rFonts w:hint="default" w:ascii="Times New Roman" w:hAnsi="Times New Roman" w:eastAsia="宋体" w:cs="Times New Roman"/>
                      <w:color w:val="auto"/>
                      <w:kern w:val="0"/>
                      <w:sz w:val="21"/>
                      <w:szCs w:val="21"/>
                      <w:highlight w:val="none"/>
                      <w:lang w:val="en-US" w:eastAsia="zh-CN"/>
                    </w:rPr>
                  </w:pPr>
                  <w:r>
                    <w:rPr>
                      <w:rFonts w:hint="default" w:ascii="Times New Roman" w:hAnsi="Times New Roman" w:eastAsia="宋体" w:cs="Times New Roman"/>
                      <w:color w:val="auto"/>
                      <w:sz w:val="21"/>
                      <w:szCs w:val="21"/>
                      <w:highlight w:val="none"/>
                    </w:rPr>
                    <w:t>16157-1996</w:t>
                  </w:r>
                </w:p>
              </w:tc>
              <w:tc>
                <w:tcPr>
                  <w:tcW w:w="705" w:type="pct"/>
                  <w:tcBorders>
                    <w:tl2br w:val="nil"/>
                    <w:tr2bl w:val="nil"/>
                  </w:tcBorders>
                  <w:vAlign w:val="center"/>
                </w:tcPr>
                <w:p w14:paraId="68E3B581">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w:t>
                  </w:r>
                </w:p>
              </w:tc>
            </w:tr>
            <w:tr w14:paraId="6FE3D9E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010" w:hRule="atLeast"/>
              </w:trPr>
              <w:tc>
                <w:tcPr>
                  <w:tcW w:w="363" w:type="pct"/>
                  <w:vMerge w:val="continue"/>
                  <w:tcBorders>
                    <w:tl2br w:val="nil"/>
                    <w:tr2bl w:val="nil"/>
                  </w:tcBorders>
                  <w:vAlign w:val="center"/>
                </w:tcPr>
                <w:p w14:paraId="5F853A4A">
                  <w:pPr>
                    <w:jc w:val="center"/>
                    <w:rPr>
                      <w:rFonts w:hint="default" w:ascii="Times New Roman" w:hAnsi="Times New Roman" w:eastAsia="宋体" w:cs="Times New Roman"/>
                      <w:sz w:val="21"/>
                      <w:szCs w:val="21"/>
                      <w:highlight w:val="none"/>
                    </w:rPr>
                  </w:pPr>
                </w:p>
              </w:tc>
              <w:tc>
                <w:tcPr>
                  <w:tcW w:w="856" w:type="pct"/>
                  <w:tcBorders>
                    <w:tl2br w:val="nil"/>
                    <w:tr2bl w:val="nil"/>
                  </w:tcBorders>
                  <w:vAlign w:val="center"/>
                </w:tcPr>
                <w:p w14:paraId="651820F4">
                  <w:pPr>
                    <w:widowControl/>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0"/>
                      <w:sz w:val="21"/>
                      <w:szCs w:val="21"/>
                      <w:highlight w:val="none"/>
                      <w:lang w:val="en-US" w:eastAsia="zh-CN"/>
                    </w:rPr>
                    <w:t>氯化氢</w:t>
                  </w:r>
                </w:p>
              </w:tc>
              <w:tc>
                <w:tcPr>
                  <w:tcW w:w="2217" w:type="pct"/>
                  <w:tcBorders>
                    <w:tl2br w:val="nil"/>
                    <w:tr2bl w:val="nil"/>
                  </w:tcBorders>
                  <w:vAlign w:val="center"/>
                </w:tcPr>
                <w:p w14:paraId="25CF3AAF">
                  <w:pPr>
                    <w:widowControl/>
                    <w:jc w:val="center"/>
                    <w:rPr>
                      <w:rFonts w:hint="default" w:ascii="Times New Roman" w:hAnsi="Times New Roman" w:eastAsia="宋体" w:cs="Times New Roman"/>
                      <w:color w:val="000000"/>
                      <w:sz w:val="21"/>
                      <w:szCs w:val="21"/>
                      <w:highlight w:val="none"/>
                    </w:rPr>
                  </w:pPr>
                  <w:r>
                    <w:rPr>
                      <w:rFonts w:hint="default" w:ascii="Times New Roman" w:hAnsi="Times New Roman" w:eastAsia="宋体" w:cs="Times New Roman"/>
                      <w:color w:val="auto"/>
                      <w:kern w:val="0"/>
                      <w:sz w:val="21"/>
                      <w:szCs w:val="21"/>
                      <w:highlight w:val="none"/>
                      <w:lang w:val="en-US" w:eastAsia="zh-CN"/>
                    </w:rPr>
                    <w:t>《固定污染源排气中的氯化氢的测定 硫氰酸汞分光光度法》</w:t>
                  </w:r>
                </w:p>
              </w:tc>
              <w:tc>
                <w:tcPr>
                  <w:tcW w:w="856" w:type="pct"/>
                  <w:tcBorders>
                    <w:tl2br w:val="nil"/>
                    <w:tr2bl w:val="nil"/>
                  </w:tcBorders>
                  <w:vAlign w:val="center"/>
                </w:tcPr>
                <w:p w14:paraId="1ECC1D2C">
                  <w:pPr>
                    <w:jc w:val="center"/>
                    <w:rPr>
                      <w:rFonts w:hint="default" w:ascii="Times New Roman" w:hAnsi="Times New Roman" w:eastAsia="宋体" w:cs="Times New Roman"/>
                      <w:color w:val="000000"/>
                      <w:sz w:val="21"/>
                      <w:szCs w:val="21"/>
                      <w:highlight w:val="none"/>
                      <w:lang w:val="en-US" w:eastAsia="zh-CN"/>
                    </w:rPr>
                  </w:pPr>
                  <w:r>
                    <w:rPr>
                      <w:rFonts w:hint="default" w:ascii="Times New Roman" w:hAnsi="Times New Roman" w:eastAsia="宋体" w:cs="Times New Roman"/>
                      <w:color w:val="auto"/>
                      <w:kern w:val="0"/>
                      <w:sz w:val="21"/>
                      <w:szCs w:val="21"/>
                      <w:highlight w:val="none"/>
                      <w:lang w:val="en-US" w:eastAsia="zh-CN"/>
                    </w:rPr>
                    <w:t>HJ/T 27-1999</w:t>
                  </w:r>
                </w:p>
              </w:tc>
              <w:tc>
                <w:tcPr>
                  <w:tcW w:w="705" w:type="pct"/>
                  <w:tcBorders>
                    <w:tl2br w:val="nil"/>
                    <w:tr2bl w:val="nil"/>
                  </w:tcBorders>
                  <w:shd w:val="clear" w:color="auto" w:fill="auto"/>
                  <w:vAlign w:val="center"/>
                </w:tcPr>
                <w:p w14:paraId="14958F86">
                  <w:pPr>
                    <w:widowControl/>
                    <w:jc w:val="center"/>
                    <w:rPr>
                      <w:rFonts w:hint="default" w:ascii="Times New Roman" w:hAnsi="Times New Roman" w:eastAsia="宋体" w:cs="Times New Roman"/>
                      <w:sz w:val="21"/>
                      <w:szCs w:val="21"/>
                      <w:highlight w:val="none"/>
                      <w:vertAlign w:val="superscript"/>
                    </w:rPr>
                  </w:pPr>
                  <w:r>
                    <w:rPr>
                      <w:rFonts w:hint="default" w:ascii="Times New Roman" w:hAnsi="Times New Roman" w:eastAsia="宋体" w:cs="Times New Roman"/>
                      <w:sz w:val="21"/>
                      <w:szCs w:val="21"/>
                      <w:highlight w:val="none"/>
                      <w:lang w:val="en-US" w:eastAsia="zh-CN"/>
                    </w:rPr>
                    <w:t>有组织0.9</w:t>
                  </w:r>
                  <w:r>
                    <w:rPr>
                      <w:rFonts w:hint="default" w:ascii="Times New Roman" w:hAnsi="Times New Roman" w:eastAsia="宋体" w:cs="Times New Roman"/>
                      <w:sz w:val="21"/>
                      <w:szCs w:val="21"/>
                      <w:highlight w:val="none"/>
                    </w:rPr>
                    <w:t>mg/m</w:t>
                  </w:r>
                  <w:r>
                    <w:rPr>
                      <w:rFonts w:hint="default" w:ascii="Times New Roman" w:hAnsi="Times New Roman" w:eastAsia="宋体" w:cs="Times New Roman"/>
                      <w:sz w:val="21"/>
                      <w:szCs w:val="21"/>
                      <w:highlight w:val="none"/>
                      <w:vertAlign w:val="superscript"/>
                    </w:rPr>
                    <w:t>3</w:t>
                  </w:r>
                </w:p>
                <w:p w14:paraId="35C6D533">
                  <w:pPr>
                    <w:widowControl/>
                    <w:jc w:val="center"/>
                    <w:rPr>
                      <w:rFonts w:hint="default" w:ascii="Times New Roman" w:hAnsi="Times New Roman" w:eastAsia="宋体" w:cs="Times New Roman"/>
                      <w:sz w:val="21"/>
                      <w:szCs w:val="21"/>
                      <w:highlight w:val="none"/>
                      <w:vertAlign w:val="superscript"/>
                      <w:lang w:val="en-US" w:eastAsia="zh-CN"/>
                    </w:rPr>
                  </w:pPr>
                  <w:r>
                    <w:rPr>
                      <w:rFonts w:hint="default" w:ascii="Times New Roman" w:hAnsi="Times New Roman" w:eastAsia="宋体" w:cs="Times New Roman"/>
                      <w:sz w:val="21"/>
                      <w:szCs w:val="21"/>
                      <w:highlight w:val="none"/>
                      <w:lang w:val="en-US" w:eastAsia="zh-CN"/>
                    </w:rPr>
                    <w:t>无组织0.05</w:t>
                  </w:r>
                  <w:r>
                    <w:rPr>
                      <w:rFonts w:hint="default" w:ascii="Times New Roman" w:hAnsi="Times New Roman" w:eastAsia="宋体" w:cs="Times New Roman"/>
                      <w:sz w:val="21"/>
                      <w:szCs w:val="21"/>
                      <w:highlight w:val="none"/>
                    </w:rPr>
                    <w:t>mg/m</w:t>
                  </w:r>
                  <w:r>
                    <w:rPr>
                      <w:rFonts w:hint="default" w:ascii="Times New Roman" w:hAnsi="Times New Roman" w:eastAsia="宋体" w:cs="Times New Roman"/>
                      <w:sz w:val="21"/>
                      <w:szCs w:val="21"/>
                      <w:highlight w:val="none"/>
                      <w:vertAlign w:val="superscript"/>
                    </w:rPr>
                    <w:t>3</w:t>
                  </w:r>
                </w:p>
              </w:tc>
            </w:tr>
            <w:tr w14:paraId="1FE6C89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363" w:type="pct"/>
                  <w:vMerge w:val="continue"/>
                  <w:tcBorders>
                    <w:tl2br w:val="nil"/>
                    <w:tr2bl w:val="nil"/>
                  </w:tcBorders>
                  <w:vAlign w:val="center"/>
                </w:tcPr>
                <w:p w14:paraId="0FE59245">
                  <w:pPr>
                    <w:jc w:val="center"/>
                    <w:rPr>
                      <w:rFonts w:hint="default" w:ascii="Times New Roman" w:hAnsi="Times New Roman" w:eastAsia="宋体" w:cs="Times New Roman"/>
                      <w:sz w:val="21"/>
                      <w:szCs w:val="21"/>
                      <w:highlight w:val="none"/>
                    </w:rPr>
                  </w:pPr>
                </w:p>
              </w:tc>
              <w:tc>
                <w:tcPr>
                  <w:tcW w:w="856" w:type="pct"/>
                  <w:tcBorders>
                    <w:tl2br w:val="nil"/>
                    <w:tr2bl w:val="nil"/>
                  </w:tcBorders>
                  <w:vAlign w:val="center"/>
                </w:tcPr>
                <w:p w14:paraId="5225DF16">
                  <w:pPr>
                    <w:widowControl/>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color w:val="000000"/>
                      <w:kern w:val="0"/>
                      <w:sz w:val="21"/>
                      <w:szCs w:val="21"/>
                      <w:highlight w:val="none"/>
                    </w:rPr>
                    <w:t>气象参数</w:t>
                  </w:r>
                  <w:r>
                    <w:rPr>
                      <w:rFonts w:hint="default" w:ascii="Times New Roman" w:hAnsi="Times New Roman" w:eastAsia="宋体" w:cs="Times New Roman"/>
                      <w:color w:val="000000"/>
                      <w:kern w:val="0"/>
                      <w:sz w:val="21"/>
                      <w:szCs w:val="21"/>
                      <w:highlight w:val="none"/>
                      <w:lang w:val="en-US" w:eastAsia="zh-CN"/>
                    </w:rPr>
                    <w:t>及采样仪器</w:t>
                  </w:r>
                </w:p>
              </w:tc>
              <w:tc>
                <w:tcPr>
                  <w:tcW w:w="2217" w:type="pct"/>
                  <w:tcBorders>
                    <w:tl2br w:val="nil"/>
                    <w:tr2bl w:val="nil"/>
                  </w:tcBorders>
                  <w:vAlign w:val="center"/>
                </w:tcPr>
                <w:p w14:paraId="466762A1">
                  <w:pPr>
                    <w:widowControl/>
                    <w:jc w:val="center"/>
                    <w:rPr>
                      <w:rFonts w:hint="default" w:ascii="Times New Roman" w:hAnsi="Times New Roman" w:eastAsia="宋体" w:cs="Times New Roman"/>
                      <w:color w:val="000000"/>
                      <w:kern w:val="2"/>
                      <w:sz w:val="21"/>
                      <w:szCs w:val="21"/>
                      <w:highlight w:val="none"/>
                      <w:lang w:val="en-US" w:eastAsia="zh-CN" w:bidi="ar-SA"/>
                    </w:rPr>
                  </w:pPr>
                  <w:r>
                    <w:rPr>
                      <w:rFonts w:hint="default" w:ascii="Times New Roman" w:hAnsi="Times New Roman" w:eastAsia="宋体" w:cs="Times New Roman"/>
                      <w:color w:val="000000"/>
                      <w:sz w:val="21"/>
                      <w:szCs w:val="21"/>
                      <w:highlight w:val="none"/>
                      <w:lang w:eastAsia="zh-CN"/>
                    </w:rPr>
                    <w:t>《大气污染物无组织排放监测技术导则》</w:t>
                  </w:r>
                </w:p>
              </w:tc>
              <w:tc>
                <w:tcPr>
                  <w:tcW w:w="856" w:type="pct"/>
                  <w:tcBorders>
                    <w:tl2br w:val="nil"/>
                    <w:tr2bl w:val="nil"/>
                  </w:tcBorders>
                  <w:vAlign w:val="center"/>
                </w:tcPr>
                <w:p w14:paraId="2D141560">
                  <w:pPr>
                    <w:jc w:val="center"/>
                    <w:rPr>
                      <w:rFonts w:hint="default" w:ascii="Times New Roman" w:hAnsi="Times New Roman" w:eastAsia="宋体" w:cs="Times New Roman"/>
                      <w:color w:val="000000"/>
                      <w:kern w:val="2"/>
                      <w:sz w:val="21"/>
                      <w:szCs w:val="21"/>
                      <w:highlight w:val="none"/>
                      <w:lang w:val="en-US" w:eastAsia="zh-CN" w:bidi="ar-SA"/>
                    </w:rPr>
                  </w:pPr>
                  <w:r>
                    <w:rPr>
                      <w:rFonts w:hint="default" w:ascii="Times New Roman" w:hAnsi="Times New Roman" w:eastAsia="宋体" w:cs="Times New Roman"/>
                      <w:color w:val="000000"/>
                      <w:sz w:val="21"/>
                      <w:szCs w:val="21"/>
                      <w:highlight w:val="none"/>
                      <w:lang w:val="en-US" w:eastAsia="zh-CN"/>
                    </w:rPr>
                    <w:t>HJ/T 55-2000</w:t>
                  </w:r>
                </w:p>
              </w:tc>
              <w:tc>
                <w:tcPr>
                  <w:tcW w:w="705" w:type="pct"/>
                  <w:tcBorders>
                    <w:tl2br w:val="nil"/>
                    <w:tr2bl w:val="nil"/>
                  </w:tcBorders>
                  <w:vAlign w:val="center"/>
                </w:tcPr>
                <w:p w14:paraId="719941D3">
                  <w:pPr>
                    <w:jc w:val="center"/>
                    <w:rPr>
                      <w:rFonts w:hint="default" w:ascii="Times New Roman" w:hAnsi="Times New Roman" w:eastAsia="宋体" w:cs="Times New Roman"/>
                      <w:color w:val="000000"/>
                      <w:kern w:val="2"/>
                      <w:sz w:val="21"/>
                      <w:szCs w:val="21"/>
                      <w:highlight w:val="none"/>
                      <w:lang w:val="en-US" w:eastAsia="zh-CN" w:bidi="ar-SA"/>
                    </w:rPr>
                  </w:pPr>
                  <w:r>
                    <w:rPr>
                      <w:rFonts w:hint="default" w:ascii="Times New Roman" w:hAnsi="Times New Roman" w:eastAsia="宋体" w:cs="Times New Roman"/>
                      <w:color w:val="000000"/>
                      <w:kern w:val="2"/>
                      <w:sz w:val="21"/>
                      <w:szCs w:val="21"/>
                      <w:highlight w:val="none"/>
                      <w:lang w:val="en-US" w:eastAsia="zh-CN" w:bidi="ar-SA"/>
                    </w:rPr>
                    <w:t>/</w:t>
                  </w:r>
                </w:p>
              </w:tc>
            </w:tr>
            <w:tr w14:paraId="4E0F727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363" w:type="pct"/>
                  <w:vMerge w:val="continue"/>
                  <w:tcBorders>
                    <w:tl2br w:val="nil"/>
                    <w:tr2bl w:val="nil"/>
                  </w:tcBorders>
                  <w:vAlign w:val="center"/>
                </w:tcPr>
                <w:p w14:paraId="37DDE6BA">
                  <w:pPr>
                    <w:jc w:val="center"/>
                    <w:rPr>
                      <w:rFonts w:hint="default" w:ascii="Times New Roman" w:hAnsi="Times New Roman" w:eastAsia="宋体" w:cs="Times New Roman"/>
                      <w:sz w:val="21"/>
                      <w:szCs w:val="21"/>
                      <w:highlight w:val="none"/>
                    </w:rPr>
                  </w:pPr>
                </w:p>
              </w:tc>
              <w:tc>
                <w:tcPr>
                  <w:tcW w:w="856" w:type="pct"/>
                  <w:tcBorders>
                    <w:tl2br w:val="nil"/>
                    <w:tr2bl w:val="nil"/>
                  </w:tcBorders>
                  <w:vAlign w:val="center"/>
                </w:tcPr>
                <w:p w14:paraId="74430661">
                  <w:pPr>
                    <w:widowControl/>
                    <w:jc w:val="center"/>
                    <w:rPr>
                      <w:rFonts w:hint="default" w:ascii="Times New Roman" w:hAnsi="Times New Roman" w:eastAsia="宋体" w:cs="Times New Roman"/>
                      <w:color w:val="000000"/>
                      <w:kern w:val="0"/>
                      <w:sz w:val="21"/>
                      <w:szCs w:val="21"/>
                      <w:highlight w:val="none"/>
                      <w:lang w:val="en-US" w:eastAsia="zh-CN"/>
                    </w:rPr>
                  </w:pPr>
                  <w:r>
                    <w:rPr>
                      <w:rFonts w:hint="default" w:ascii="Times New Roman" w:hAnsi="Times New Roman" w:eastAsia="宋体" w:cs="Times New Roman"/>
                      <w:color w:val="000000"/>
                      <w:kern w:val="0"/>
                      <w:sz w:val="21"/>
                      <w:szCs w:val="21"/>
                      <w:highlight w:val="none"/>
                      <w:lang w:val="en-US" w:eastAsia="zh-CN"/>
                    </w:rPr>
                    <w:t>非甲烷总烃</w:t>
                  </w:r>
                </w:p>
              </w:tc>
              <w:tc>
                <w:tcPr>
                  <w:tcW w:w="2217" w:type="pct"/>
                  <w:tcBorders>
                    <w:tl2br w:val="nil"/>
                    <w:tr2bl w:val="nil"/>
                  </w:tcBorders>
                  <w:vAlign w:val="center"/>
                </w:tcPr>
                <w:p w14:paraId="23A24701">
                  <w:pPr>
                    <w:widowControl/>
                    <w:jc w:val="center"/>
                    <w:rPr>
                      <w:rFonts w:hint="default" w:ascii="Times New Roman" w:hAnsi="Times New Roman" w:eastAsia="宋体" w:cs="Times New Roman"/>
                      <w:color w:val="000000"/>
                      <w:sz w:val="21"/>
                      <w:szCs w:val="21"/>
                      <w:highlight w:val="none"/>
                      <w:lang w:eastAsia="zh-CN"/>
                    </w:rPr>
                  </w:pPr>
                  <w:r>
                    <w:rPr>
                      <w:rFonts w:hint="default" w:ascii="Times New Roman" w:hAnsi="Times New Roman" w:eastAsia="宋体" w:cs="Times New Roman"/>
                      <w:color w:val="000000"/>
                      <w:sz w:val="21"/>
                      <w:szCs w:val="21"/>
                      <w:highlight w:val="none"/>
                      <w:lang w:eastAsia="zh-CN"/>
                    </w:rPr>
                    <w:t>《固定污染源废气 总烃、甲烷和非甲烷总烃的测定 气相色谱法》</w:t>
                  </w:r>
                </w:p>
              </w:tc>
              <w:tc>
                <w:tcPr>
                  <w:tcW w:w="856" w:type="pct"/>
                  <w:tcBorders>
                    <w:tl2br w:val="nil"/>
                    <w:tr2bl w:val="nil"/>
                  </w:tcBorders>
                  <w:vAlign w:val="center"/>
                </w:tcPr>
                <w:p w14:paraId="49661E8B">
                  <w:pPr>
                    <w:jc w:val="center"/>
                    <w:rPr>
                      <w:rFonts w:hint="default" w:ascii="Times New Roman" w:hAnsi="Times New Roman" w:eastAsia="宋体" w:cs="Times New Roman"/>
                      <w:color w:val="000000"/>
                      <w:sz w:val="21"/>
                      <w:szCs w:val="21"/>
                      <w:highlight w:val="none"/>
                      <w:lang w:val="en-US" w:eastAsia="zh-CN"/>
                    </w:rPr>
                  </w:pPr>
                  <w:r>
                    <w:rPr>
                      <w:rFonts w:hint="default" w:ascii="Times New Roman" w:hAnsi="Times New Roman" w:eastAsia="宋体" w:cs="Times New Roman"/>
                      <w:color w:val="000000"/>
                      <w:sz w:val="21"/>
                      <w:szCs w:val="21"/>
                      <w:highlight w:val="none"/>
                      <w:lang w:eastAsia="zh-CN"/>
                    </w:rPr>
                    <w:t>HJ38-2017</w:t>
                  </w:r>
                </w:p>
              </w:tc>
              <w:tc>
                <w:tcPr>
                  <w:tcW w:w="705" w:type="pct"/>
                  <w:tcBorders>
                    <w:tl2br w:val="nil"/>
                    <w:tr2bl w:val="nil"/>
                  </w:tcBorders>
                  <w:vAlign w:val="center"/>
                </w:tcPr>
                <w:p w14:paraId="26483796">
                  <w:pPr>
                    <w:jc w:val="center"/>
                    <w:rPr>
                      <w:rFonts w:hint="default" w:ascii="Times New Roman" w:hAnsi="Times New Roman" w:eastAsia="宋体" w:cs="Times New Roman"/>
                      <w:color w:val="000000"/>
                      <w:kern w:val="2"/>
                      <w:sz w:val="21"/>
                      <w:szCs w:val="21"/>
                      <w:highlight w:val="none"/>
                      <w:lang w:val="en-US" w:eastAsia="zh-CN" w:bidi="ar-SA"/>
                    </w:rPr>
                  </w:pPr>
                  <w:r>
                    <w:rPr>
                      <w:rFonts w:hint="default" w:ascii="Times New Roman" w:hAnsi="Times New Roman" w:eastAsia="宋体" w:cs="Times New Roman"/>
                      <w:color w:val="000000"/>
                      <w:kern w:val="2"/>
                      <w:sz w:val="21"/>
                      <w:szCs w:val="21"/>
                      <w:highlight w:val="none"/>
                      <w:lang w:val="en-US" w:eastAsia="zh-CN" w:bidi="ar-SA"/>
                    </w:rPr>
                    <w:t>0.07</w:t>
                  </w:r>
                  <w:r>
                    <w:rPr>
                      <w:rFonts w:hint="default" w:ascii="Times New Roman" w:hAnsi="Times New Roman" w:eastAsia="宋体" w:cs="Times New Roman"/>
                      <w:sz w:val="21"/>
                      <w:szCs w:val="21"/>
                      <w:highlight w:val="none"/>
                    </w:rPr>
                    <w:t>mg/m</w:t>
                  </w:r>
                  <w:r>
                    <w:rPr>
                      <w:rFonts w:hint="default" w:ascii="Times New Roman" w:hAnsi="Times New Roman" w:eastAsia="宋体" w:cs="Times New Roman"/>
                      <w:sz w:val="21"/>
                      <w:szCs w:val="21"/>
                      <w:highlight w:val="none"/>
                      <w:vertAlign w:val="superscript"/>
                    </w:rPr>
                    <w:t>3</w:t>
                  </w:r>
                </w:p>
              </w:tc>
            </w:tr>
            <w:tr w14:paraId="4704814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363" w:type="pct"/>
                  <w:vMerge w:val="continue"/>
                  <w:tcBorders>
                    <w:tl2br w:val="nil"/>
                    <w:tr2bl w:val="nil"/>
                  </w:tcBorders>
                  <w:vAlign w:val="center"/>
                </w:tcPr>
                <w:p w14:paraId="6157B0F2">
                  <w:pPr>
                    <w:jc w:val="center"/>
                    <w:rPr>
                      <w:rFonts w:hint="default" w:ascii="Times New Roman" w:hAnsi="Times New Roman" w:eastAsia="宋体" w:cs="Times New Roman"/>
                      <w:sz w:val="21"/>
                      <w:szCs w:val="21"/>
                      <w:highlight w:val="none"/>
                    </w:rPr>
                  </w:pPr>
                </w:p>
              </w:tc>
              <w:tc>
                <w:tcPr>
                  <w:tcW w:w="856" w:type="pct"/>
                  <w:tcBorders>
                    <w:tl2br w:val="nil"/>
                    <w:tr2bl w:val="nil"/>
                  </w:tcBorders>
                  <w:vAlign w:val="center"/>
                </w:tcPr>
                <w:p w14:paraId="46C87CE9">
                  <w:pPr>
                    <w:widowControl/>
                    <w:jc w:val="center"/>
                    <w:rPr>
                      <w:rFonts w:hint="default" w:ascii="Times New Roman" w:hAnsi="Times New Roman" w:eastAsia="宋体" w:cs="Times New Roman"/>
                      <w:color w:val="000000"/>
                      <w:kern w:val="0"/>
                      <w:sz w:val="21"/>
                      <w:szCs w:val="21"/>
                      <w:highlight w:val="none"/>
                      <w:lang w:val="en-US" w:eastAsia="zh-CN"/>
                    </w:rPr>
                  </w:pPr>
                  <w:r>
                    <w:rPr>
                      <w:rFonts w:hint="default" w:ascii="Times New Roman" w:hAnsi="Times New Roman" w:eastAsia="宋体" w:cs="Times New Roman"/>
                      <w:color w:val="000000"/>
                      <w:kern w:val="0"/>
                      <w:sz w:val="21"/>
                      <w:szCs w:val="21"/>
                      <w:highlight w:val="none"/>
                      <w:lang w:val="en-US" w:eastAsia="zh-CN"/>
                    </w:rPr>
                    <w:t>非甲烷总烃</w:t>
                  </w:r>
                </w:p>
              </w:tc>
              <w:tc>
                <w:tcPr>
                  <w:tcW w:w="2217" w:type="pct"/>
                  <w:tcBorders>
                    <w:tl2br w:val="nil"/>
                    <w:tr2bl w:val="nil"/>
                  </w:tcBorders>
                  <w:vAlign w:val="center"/>
                </w:tcPr>
                <w:p w14:paraId="43AE7D45">
                  <w:pPr>
                    <w:widowControl/>
                    <w:jc w:val="center"/>
                    <w:rPr>
                      <w:rFonts w:hint="default" w:ascii="Times New Roman" w:hAnsi="Times New Roman" w:eastAsia="宋体" w:cs="Times New Roman"/>
                      <w:color w:val="000000"/>
                      <w:sz w:val="21"/>
                      <w:szCs w:val="21"/>
                      <w:highlight w:val="none"/>
                      <w:lang w:eastAsia="zh-CN"/>
                    </w:rPr>
                  </w:pPr>
                  <w:r>
                    <w:rPr>
                      <w:rFonts w:hint="default" w:ascii="Times New Roman" w:hAnsi="Times New Roman" w:eastAsia="宋体" w:cs="Times New Roman"/>
                      <w:color w:val="000000"/>
                      <w:sz w:val="21"/>
                      <w:szCs w:val="21"/>
                      <w:highlight w:val="none"/>
                      <w:lang w:eastAsia="zh-CN"/>
                    </w:rPr>
                    <w:t>《环境空气 总烃、甲烷和非甲烷总烃的测定 直接进样—气相色谱法》</w:t>
                  </w:r>
                </w:p>
              </w:tc>
              <w:tc>
                <w:tcPr>
                  <w:tcW w:w="856" w:type="pct"/>
                  <w:tcBorders>
                    <w:tl2br w:val="nil"/>
                    <w:tr2bl w:val="nil"/>
                  </w:tcBorders>
                  <w:vAlign w:val="center"/>
                </w:tcPr>
                <w:p w14:paraId="39E80FAB">
                  <w:pPr>
                    <w:jc w:val="center"/>
                    <w:rPr>
                      <w:rFonts w:hint="default" w:ascii="Times New Roman" w:hAnsi="Times New Roman" w:eastAsia="宋体" w:cs="Times New Roman"/>
                      <w:color w:val="000000"/>
                      <w:sz w:val="21"/>
                      <w:szCs w:val="21"/>
                      <w:highlight w:val="none"/>
                      <w:lang w:eastAsia="zh-CN"/>
                    </w:rPr>
                  </w:pPr>
                  <w:r>
                    <w:rPr>
                      <w:rFonts w:hint="default" w:ascii="Times New Roman" w:hAnsi="Times New Roman" w:eastAsia="宋体" w:cs="Times New Roman"/>
                      <w:color w:val="000000"/>
                      <w:sz w:val="21"/>
                      <w:szCs w:val="21"/>
                      <w:highlight w:val="none"/>
                      <w:lang w:eastAsia="zh-CN"/>
                    </w:rPr>
                    <w:t>HJ604-2017</w:t>
                  </w:r>
                </w:p>
              </w:tc>
              <w:tc>
                <w:tcPr>
                  <w:tcW w:w="705" w:type="pct"/>
                  <w:tcBorders>
                    <w:tl2br w:val="nil"/>
                    <w:tr2bl w:val="nil"/>
                  </w:tcBorders>
                  <w:vAlign w:val="center"/>
                </w:tcPr>
                <w:p w14:paraId="3BC277E3">
                  <w:pPr>
                    <w:jc w:val="center"/>
                    <w:rPr>
                      <w:rFonts w:hint="default" w:ascii="Times New Roman" w:hAnsi="Times New Roman" w:eastAsia="宋体" w:cs="Times New Roman"/>
                      <w:color w:val="000000"/>
                      <w:kern w:val="2"/>
                      <w:sz w:val="21"/>
                      <w:szCs w:val="21"/>
                      <w:highlight w:val="none"/>
                      <w:lang w:val="en-US" w:eastAsia="zh-CN" w:bidi="ar-SA"/>
                    </w:rPr>
                  </w:pPr>
                  <w:r>
                    <w:rPr>
                      <w:rFonts w:hint="default" w:ascii="Times New Roman" w:hAnsi="Times New Roman" w:eastAsia="宋体" w:cs="Times New Roman"/>
                      <w:color w:val="000000"/>
                      <w:kern w:val="2"/>
                      <w:sz w:val="21"/>
                      <w:szCs w:val="21"/>
                      <w:highlight w:val="none"/>
                      <w:lang w:val="en-US" w:eastAsia="zh-CN" w:bidi="ar-SA"/>
                    </w:rPr>
                    <w:t>0.07</w:t>
                  </w:r>
                  <w:r>
                    <w:rPr>
                      <w:rFonts w:hint="default" w:ascii="Times New Roman" w:hAnsi="Times New Roman" w:eastAsia="宋体" w:cs="Times New Roman"/>
                      <w:sz w:val="21"/>
                      <w:szCs w:val="21"/>
                      <w:highlight w:val="none"/>
                    </w:rPr>
                    <w:t>mg/m</w:t>
                  </w:r>
                  <w:r>
                    <w:rPr>
                      <w:rFonts w:hint="default" w:ascii="Times New Roman" w:hAnsi="Times New Roman" w:eastAsia="宋体" w:cs="Times New Roman"/>
                      <w:sz w:val="21"/>
                      <w:szCs w:val="21"/>
                      <w:highlight w:val="none"/>
                      <w:vertAlign w:val="superscript"/>
                    </w:rPr>
                    <w:t>3</w:t>
                  </w:r>
                </w:p>
              </w:tc>
            </w:tr>
            <w:tr w14:paraId="438FF1D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8" w:hRule="atLeast"/>
              </w:trPr>
              <w:tc>
                <w:tcPr>
                  <w:tcW w:w="363" w:type="pct"/>
                  <w:vMerge w:val="continue"/>
                  <w:tcBorders>
                    <w:tl2br w:val="nil"/>
                    <w:tr2bl w:val="nil"/>
                  </w:tcBorders>
                  <w:vAlign w:val="center"/>
                </w:tcPr>
                <w:p w14:paraId="65B03DD7">
                  <w:pPr>
                    <w:jc w:val="center"/>
                    <w:rPr>
                      <w:rFonts w:hint="default" w:ascii="Times New Roman" w:hAnsi="Times New Roman" w:eastAsia="宋体" w:cs="Times New Roman"/>
                      <w:sz w:val="21"/>
                      <w:szCs w:val="21"/>
                      <w:highlight w:val="none"/>
                    </w:rPr>
                  </w:pPr>
                </w:p>
              </w:tc>
              <w:tc>
                <w:tcPr>
                  <w:tcW w:w="856" w:type="pct"/>
                  <w:tcBorders>
                    <w:tl2br w:val="nil"/>
                    <w:tr2bl w:val="nil"/>
                  </w:tcBorders>
                  <w:vAlign w:val="center"/>
                </w:tcPr>
                <w:p w14:paraId="65F59F0C">
                  <w:pPr>
                    <w:widowControl/>
                    <w:jc w:val="center"/>
                    <w:rPr>
                      <w:rFonts w:hint="default" w:ascii="Times New Roman" w:hAnsi="Times New Roman" w:eastAsia="宋体" w:cs="Times New Roman"/>
                      <w:color w:val="000000"/>
                      <w:kern w:val="0"/>
                      <w:sz w:val="21"/>
                      <w:szCs w:val="21"/>
                      <w:highlight w:val="none"/>
                      <w:lang w:val="en-US" w:eastAsia="zh-CN"/>
                    </w:rPr>
                  </w:pPr>
                  <w:r>
                    <w:rPr>
                      <w:rFonts w:hint="eastAsia" w:ascii="Times New Roman" w:hAnsi="Times New Roman" w:eastAsia="宋体" w:cs="Times New Roman"/>
                      <w:color w:val="000000"/>
                      <w:kern w:val="0"/>
                      <w:sz w:val="21"/>
                      <w:szCs w:val="21"/>
                      <w:highlight w:val="none"/>
                      <w:lang w:val="en-US" w:eastAsia="zh-CN"/>
                    </w:rPr>
                    <w:t>甲醇</w:t>
                  </w:r>
                </w:p>
              </w:tc>
              <w:tc>
                <w:tcPr>
                  <w:tcW w:w="2217" w:type="pct"/>
                  <w:tcBorders>
                    <w:tl2br w:val="nil"/>
                    <w:tr2bl w:val="nil"/>
                  </w:tcBorders>
                  <w:vAlign w:val="center"/>
                </w:tcPr>
                <w:p w14:paraId="1B99CC16">
                  <w:pPr>
                    <w:widowControl/>
                    <w:jc w:val="center"/>
                    <w:rPr>
                      <w:rFonts w:hint="default" w:ascii="Times New Roman" w:hAnsi="Times New Roman" w:eastAsia="宋体" w:cs="Times New Roman"/>
                      <w:color w:val="000000"/>
                      <w:sz w:val="21"/>
                      <w:szCs w:val="21"/>
                      <w:highlight w:val="none"/>
                      <w:lang w:eastAsia="zh-CN"/>
                    </w:rPr>
                  </w:pPr>
                  <w:r>
                    <w:rPr>
                      <w:rFonts w:hint="default" w:ascii="Times New Roman" w:hAnsi="Times New Roman" w:eastAsia="宋体" w:cs="Times New Roman"/>
                      <w:color w:val="000000"/>
                      <w:sz w:val="21"/>
                      <w:szCs w:val="21"/>
                      <w:highlight w:val="none"/>
                      <w:lang w:eastAsia="zh-CN"/>
                    </w:rPr>
                    <w:t>固定污染源排气中甲醇的测定气相色谱法》</w:t>
                  </w:r>
                </w:p>
              </w:tc>
              <w:tc>
                <w:tcPr>
                  <w:tcW w:w="856" w:type="pct"/>
                  <w:tcBorders>
                    <w:tl2br w:val="nil"/>
                    <w:tr2bl w:val="nil"/>
                  </w:tcBorders>
                  <w:vAlign w:val="center"/>
                </w:tcPr>
                <w:p w14:paraId="18E73D0A">
                  <w:pPr>
                    <w:jc w:val="center"/>
                    <w:rPr>
                      <w:rFonts w:hint="default" w:ascii="Times New Roman" w:hAnsi="Times New Roman" w:eastAsia="宋体" w:cs="Times New Roman"/>
                      <w:color w:val="000000"/>
                      <w:sz w:val="21"/>
                      <w:szCs w:val="21"/>
                      <w:highlight w:val="none"/>
                      <w:lang w:eastAsia="zh-CN"/>
                    </w:rPr>
                  </w:pPr>
                  <w:r>
                    <w:rPr>
                      <w:rFonts w:hint="default" w:ascii="Times New Roman" w:hAnsi="Times New Roman" w:eastAsia="宋体" w:cs="Times New Roman"/>
                      <w:color w:val="000000"/>
                      <w:sz w:val="21"/>
                      <w:szCs w:val="21"/>
                      <w:highlight w:val="none"/>
                      <w:lang w:eastAsia="zh-CN"/>
                    </w:rPr>
                    <w:t>HI/T 33-1999</w:t>
                  </w:r>
                </w:p>
              </w:tc>
              <w:tc>
                <w:tcPr>
                  <w:tcW w:w="705" w:type="pct"/>
                  <w:tcBorders>
                    <w:tl2br w:val="nil"/>
                    <w:tr2bl w:val="nil"/>
                  </w:tcBorders>
                  <w:vAlign w:val="center"/>
                </w:tcPr>
                <w:p w14:paraId="4C8CE26B">
                  <w:pPr>
                    <w:jc w:val="center"/>
                    <w:rPr>
                      <w:rFonts w:hint="default" w:ascii="Times New Roman" w:hAnsi="Times New Roman" w:eastAsia="宋体" w:cs="Times New Roman"/>
                      <w:color w:val="000000"/>
                      <w:kern w:val="2"/>
                      <w:sz w:val="21"/>
                      <w:szCs w:val="21"/>
                      <w:highlight w:val="none"/>
                      <w:lang w:val="en-US" w:eastAsia="zh-CN" w:bidi="ar-SA"/>
                    </w:rPr>
                  </w:pPr>
                  <w:r>
                    <w:rPr>
                      <w:rFonts w:hint="eastAsia" w:ascii="Times New Roman" w:hAnsi="Times New Roman" w:eastAsia="宋体" w:cs="Times New Roman"/>
                      <w:color w:val="000000"/>
                      <w:kern w:val="2"/>
                      <w:sz w:val="21"/>
                      <w:szCs w:val="21"/>
                      <w:highlight w:val="none"/>
                      <w:lang w:val="en-US" w:eastAsia="zh-CN" w:bidi="ar-SA"/>
                    </w:rPr>
                    <w:t>0.04</w:t>
                  </w:r>
                </w:p>
              </w:tc>
            </w:tr>
            <w:tr w14:paraId="5DD4D2C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8" w:hRule="atLeast"/>
              </w:trPr>
              <w:tc>
                <w:tcPr>
                  <w:tcW w:w="363" w:type="pct"/>
                  <w:vMerge w:val="restart"/>
                  <w:tcBorders>
                    <w:tl2br w:val="nil"/>
                    <w:tr2bl w:val="nil"/>
                  </w:tcBorders>
                  <w:vAlign w:val="center"/>
                </w:tcPr>
                <w:p w14:paraId="19B7C568">
                  <w:pPr>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噪声</w:t>
                  </w:r>
                </w:p>
              </w:tc>
              <w:tc>
                <w:tcPr>
                  <w:tcW w:w="856" w:type="pct"/>
                  <w:vMerge w:val="restart"/>
                  <w:tcBorders>
                    <w:tl2br w:val="nil"/>
                    <w:tr2bl w:val="nil"/>
                  </w:tcBorders>
                  <w:vAlign w:val="center"/>
                </w:tcPr>
                <w:p w14:paraId="434EEA5B">
                  <w:pPr>
                    <w:widowControl/>
                    <w:jc w:val="center"/>
                    <w:rPr>
                      <w:rFonts w:hint="default" w:ascii="Times New Roman" w:hAnsi="Times New Roman" w:eastAsia="宋体" w:cs="Times New Roman"/>
                      <w:kern w:val="0"/>
                      <w:sz w:val="21"/>
                      <w:szCs w:val="21"/>
                      <w:highlight w:val="none"/>
                      <w:lang w:val="en-US" w:eastAsia="zh-CN"/>
                    </w:rPr>
                  </w:pPr>
                  <w:r>
                    <w:rPr>
                      <w:rFonts w:hint="eastAsia" w:ascii="Times New Roman" w:hAnsi="Times New Roman" w:eastAsia="宋体" w:cs="Times New Roman"/>
                      <w:kern w:val="0"/>
                      <w:sz w:val="21"/>
                      <w:szCs w:val="21"/>
                      <w:highlight w:val="none"/>
                      <w:lang w:val="en-US" w:eastAsia="zh-CN"/>
                    </w:rPr>
                    <w:t>工业企业</w:t>
                  </w:r>
                  <w:r>
                    <w:rPr>
                      <w:rFonts w:hint="default" w:ascii="Times New Roman" w:hAnsi="Times New Roman" w:eastAsia="宋体" w:cs="Times New Roman"/>
                      <w:kern w:val="0"/>
                      <w:sz w:val="21"/>
                      <w:szCs w:val="21"/>
                      <w:highlight w:val="none"/>
                      <w:lang w:val="en-US" w:eastAsia="zh-CN"/>
                    </w:rPr>
                    <w:t>厂界噪声</w:t>
                  </w:r>
                </w:p>
              </w:tc>
              <w:tc>
                <w:tcPr>
                  <w:tcW w:w="2217" w:type="pct"/>
                  <w:tcBorders>
                    <w:tl2br w:val="nil"/>
                    <w:tr2bl w:val="nil"/>
                  </w:tcBorders>
                  <w:vAlign w:val="center"/>
                </w:tcPr>
                <w:p w14:paraId="7C5FA418">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sz w:val="21"/>
                      <w:szCs w:val="21"/>
                      <w:highlight w:val="none"/>
                    </w:rPr>
                    <w:t>《工业企业厂界环境噪声排放标准》</w:t>
                  </w:r>
                </w:p>
              </w:tc>
              <w:tc>
                <w:tcPr>
                  <w:tcW w:w="856" w:type="pct"/>
                  <w:tcBorders>
                    <w:tl2br w:val="nil"/>
                    <w:tr2bl w:val="nil"/>
                  </w:tcBorders>
                  <w:vAlign w:val="center"/>
                </w:tcPr>
                <w:p w14:paraId="69E54E32">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GB12348-2008</w:t>
                  </w:r>
                </w:p>
              </w:tc>
              <w:tc>
                <w:tcPr>
                  <w:tcW w:w="705" w:type="pct"/>
                  <w:tcBorders>
                    <w:tl2br w:val="nil"/>
                    <w:tr2bl w:val="nil"/>
                  </w:tcBorders>
                  <w:vAlign w:val="center"/>
                </w:tcPr>
                <w:p w14:paraId="021DDDE9">
                  <w:pPr>
                    <w:widowControl/>
                    <w:jc w:val="center"/>
                    <w:rPr>
                      <w:rFonts w:hint="default" w:ascii="Times New Roman" w:hAnsi="Times New Roman" w:eastAsia="宋体" w:cs="Times New Roman"/>
                      <w:kern w:val="0"/>
                      <w:sz w:val="21"/>
                      <w:szCs w:val="21"/>
                      <w:highlight w:val="none"/>
                      <w:lang w:val="zh-TW" w:eastAsia="zh-CN"/>
                    </w:rPr>
                  </w:pPr>
                  <w:r>
                    <w:rPr>
                      <w:rFonts w:hint="default" w:ascii="Times New Roman" w:hAnsi="Times New Roman" w:eastAsia="宋体" w:cs="Times New Roman"/>
                      <w:kern w:val="0"/>
                      <w:sz w:val="21"/>
                      <w:szCs w:val="21"/>
                      <w:highlight w:val="none"/>
                      <w:lang w:val="en-US" w:eastAsia="zh-CN"/>
                    </w:rPr>
                    <w:t>/</w:t>
                  </w:r>
                </w:p>
              </w:tc>
            </w:tr>
            <w:tr w14:paraId="26CE041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87" w:hRule="atLeast"/>
              </w:trPr>
              <w:tc>
                <w:tcPr>
                  <w:tcW w:w="363" w:type="pct"/>
                  <w:vMerge w:val="continue"/>
                  <w:tcBorders>
                    <w:tl2br w:val="nil"/>
                    <w:tr2bl w:val="nil"/>
                  </w:tcBorders>
                  <w:vAlign w:val="center"/>
                </w:tcPr>
                <w:p w14:paraId="0FD3542D">
                  <w:pPr>
                    <w:jc w:val="center"/>
                    <w:rPr>
                      <w:rFonts w:hint="default" w:ascii="Times New Roman" w:hAnsi="Times New Roman" w:eastAsia="宋体" w:cs="Times New Roman"/>
                      <w:sz w:val="21"/>
                      <w:szCs w:val="21"/>
                      <w:highlight w:val="none"/>
                    </w:rPr>
                  </w:pPr>
                </w:p>
              </w:tc>
              <w:tc>
                <w:tcPr>
                  <w:tcW w:w="856" w:type="pct"/>
                  <w:vMerge w:val="continue"/>
                  <w:tcBorders>
                    <w:tl2br w:val="nil"/>
                    <w:tr2bl w:val="nil"/>
                  </w:tcBorders>
                  <w:vAlign w:val="center"/>
                </w:tcPr>
                <w:p w14:paraId="0A7975FC">
                  <w:pPr>
                    <w:widowControl/>
                    <w:jc w:val="center"/>
                    <w:rPr>
                      <w:rFonts w:hint="default" w:ascii="Times New Roman" w:hAnsi="Times New Roman" w:eastAsia="宋体" w:cs="Times New Roman"/>
                      <w:kern w:val="0"/>
                      <w:sz w:val="21"/>
                      <w:szCs w:val="21"/>
                      <w:highlight w:val="none"/>
                      <w:lang w:val="en-US" w:eastAsia="zh-CN"/>
                    </w:rPr>
                  </w:pPr>
                </w:p>
              </w:tc>
              <w:tc>
                <w:tcPr>
                  <w:tcW w:w="2217" w:type="pct"/>
                  <w:tcBorders>
                    <w:tl2br w:val="nil"/>
                    <w:tr2bl w:val="nil"/>
                  </w:tcBorders>
                  <w:vAlign w:val="center"/>
                </w:tcPr>
                <w:p w14:paraId="558F662B">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sz w:val="21"/>
                      <w:szCs w:val="21"/>
                      <w:highlight w:val="none"/>
                    </w:rPr>
                    <w:t>《环境噪声监测技术规范噪声测量值修正》</w:t>
                  </w:r>
                </w:p>
              </w:tc>
              <w:tc>
                <w:tcPr>
                  <w:tcW w:w="856" w:type="pct"/>
                  <w:tcBorders>
                    <w:tl2br w:val="nil"/>
                    <w:tr2bl w:val="nil"/>
                  </w:tcBorders>
                  <w:vAlign w:val="center"/>
                </w:tcPr>
                <w:p w14:paraId="4FB7F783">
                  <w:pPr>
                    <w:widowControl/>
                    <w:jc w:val="center"/>
                    <w:rPr>
                      <w:rFonts w:hint="default" w:ascii="Times New Roman" w:hAnsi="Times New Roman" w:eastAsia="宋体" w:cs="Times New Roman"/>
                      <w:kern w:val="0"/>
                      <w:sz w:val="21"/>
                      <w:szCs w:val="21"/>
                      <w:highlight w:val="none"/>
                      <w:lang w:val="en-US" w:eastAsia="zh-CN"/>
                    </w:rPr>
                  </w:pPr>
                  <w:r>
                    <w:rPr>
                      <w:rFonts w:hint="default" w:ascii="Times New Roman" w:hAnsi="Times New Roman" w:eastAsia="宋体" w:cs="Times New Roman"/>
                      <w:kern w:val="0"/>
                      <w:sz w:val="21"/>
                      <w:szCs w:val="21"/>
                      <w:highlight w:val="none"/>
                      <w:lang w:val="en-US" w:eastAsia="zh-CN"/>
                    </w:rPr>
                    <w:t>HJ706-2014</w:t>
                  </w:r>
                </w:p>
              </w:tc>
              <w:tc>
                <w:tcPr>
                  <w:tcW w:w="705" w:type="pct"/>
                  <w:tcBorders>
                    <w:tl2br w:val="nil"/>
                    <w:tr2bl w:val="nil"/>
                  </w:tcBorders>
                  <w:vAlign w:val="center"/>
                </w:tcPr>
                <w:p w14:paraId="66D63351">
                  <w:pPr>
                    <w:widowControl/>
                    <w:jc w:val="center"/>
                    <w:rPr>
                      <w:rFonts w:hint="default" w:ascii="Times New Roman" w:hAnsi="Times New Roman" w:eastAsia="宋体" w:cs="Times New Roman"/>
                      <w:kern w:val="0"/>
                      <w:sz w:val="21"/>
                      <w:szCs w:val="21"/>
                      <w:highlight w:val="none"/>
                      <w:lang w:val="zh-TW" w:eastAsia="zh-CN"/>
                    </w:rPr>
                  </w:pPr>
                  <w:r>
                    <w:rPr>
                      <w:rFonts w:hint="default" w:ascii="Times New Roman" w:hAnsi="Times New Roman" w:eastAsia="宋体" w:cs="Times New Roman"/>
                      <w:kern w:val="0"/>
                      <w:sz w:val="21"/>
                      <w:szCs w:val="21"/>
                      <w:highlight w:val="none"/>
                      <w:lang w:val="en-US" w:eastAsia="zh-CN"/>
                    </w:rPr>
                    <w:t>/</w:t>
                  </w:r>
                </w:p>
              </w:tc>
            </w:tr>
          </w:tbl>
          <w:p w14:paraId="53023822">
            <w:pPr>
              <w:adjustRightInd w:val="0"/>
              <w:snapToGrid w:val="0"/>
              <w:spacing w:line="360" w:lineRule="auto"/>
              <w:ind w:firstLine="482" w:firstLineChars="200"/>
              <w:jc w:val="left"/>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二、监测仪器</w:t>
            </w:r>
          </w:p>
          <w:p w14:paraId="28F4050D">
            <w:pPr>
              <w:spacing w:line="360" w:lineRule="auto"/>
              <w:jc w:val="center"/>
              <w:rPr>
                <w:rFonts w:hint="default" w:ascii="Times New Roman" w:hAnsi="Times New Roman" w:cs="Times New Roman"/>
                <w:b/>
                <w:sz w:val="24"/>
                <w:szCs w:val="24"/>
              </w:rPr>
            </w:pPr>
            <w:r>
              <w:rPr>
                <w:rFonts w:hint="default" w:ascii="Times New Roman" w:hAnsi="Times New Roman" w:eastAsia="宋体" w:cs="Times New Roman"/>
                <w:b/>
                <w:sz w:val="24"/>
                <w:szCs w:val="24"/>
              </w:rPr>
              <w:t>表5-2</w:t>
            </w:r>
            <w:r>
              <w:rPr>
                <w:rFonts w:hint="default" w:ascii="Times New Roman" w:hAnsi="Times New Roman" w:cs="Times New Roman"/>
                <w:b/>
                <w:sz w:val="24"/>
                <w:szCs w:val="24"/>
              </w:rPr>
              <w:t>仪器详细信息表</w:t>
            </w:r>
          </w:p>
          <w:tbl>
            <w:tblPr>
              <w:tblStyle w:val="30"/>
              <w:tblW w:w="5104" w:type="pct"/>
              <w:tblInd w:w="-105"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149"/>
              <w:gridCol w:w="2618"/>
              <w:gridCol w:w="2583"/>
              <w:gridCol w:w="1566"/>
              <w:gridCol w:w="1345"/>
            </w:tblGrid>
            <w:tr w14:paraId="6B776E9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620" w:type="pct"/>
                  <w:tcBorders>
                    <w:tl2br w:val="nil"/>
                    <w:tr2bl w:val="nil"/>
                  </w:tcBorders>
                  <w:vAlign w:val="center"/>
                </w:tcPr>
                <w:p w14:paraId="378B33DF">
                  <w:pPr>
                    <w:jc w:val="center"/>
                    <w:rPr>
                      <w:rFonts w:hint="default" w:ascii="Times New Roman" w:hAnsi="Times New Roman" w:eastAsia="宋体" w:cs="Times New Roman"/>
                      <w:b/>
                      <w:sz w:val="21"/>
                      <w:szCs w:val="21"/>
                      <w:highlight w:val="none"/>
                    </w:rPr>
                  </w:pPr>
                  <w:r>
                    <w:rPr>
                      <w:rFonts w:hint="default" w:ascii="Times New Roman" w:hAnsi="Times New Roman" w:eastAsia="宋体" w:cs="Times New Roman"/>
                      <w:b/>
                      <w:sz w:val="21"/>
                      <w:szCs w:val="21"/>
                      <w:highlight w:val="none"/>
                    </w:rPr>
                    <w:t>监测类别</w:t>
                  </w:r>
                </w:p>
              </w:tc>
              <w:tc>
                <w:tcPr>
                  <w:tcW w:w="1413" w:type="pct"/>
                  <w:tcBorders>
                    <w:tl2br w:val="nil"/>
                    <w:tr2bl w:val="nil"/>
                  </w:tcBorders>
                  <w:vAlign w:val="center"/>
                </w:tcPr>
                <w:p w14:paraId="2790C29C">
                  <w:pPr>
                    <w:jc w:val="center"/>
                    <w:rPr>
                      <w:rFonts w:hint="default" w:ascii="Times New Roman" w:hAnsi="Times New Roman" w:eastAsia="宋体" w:cs="Times New Roman"/>
                      <w:b/>
                      <w:sz w:val="21"/>
                      <w:szCs w:val="21"/>
                      <w:highlight w:val="none"/>
                    </w:rPr>
                  </w:pPr>
                  <w:r>
                    <w:rPr>
                      <w:rFonts w:hint="default" w:ascii="Times New Roman" w:hAnsi="Times New Roman" w:eastAsia="宋体" w:cs="Times New Roman"/>
                      <w:b/>
                      <w:sz w:val="21"/>
                      <w:szCs w:val="21"/>
                      <w:highlight w:val="none"/>
                    </w:rPr>
                    <w:t>监测项目</w:t>
                  </w:r>
                </w:p>
              </w:tc>
              <w:tc>
                <w:tcPr>
                  <w:tcW w:w="1394" w:type="pct"/>
                  <w:tcBorders>
                    <w:tl2br w:val="nil"/>
                    <w:tr2bl w:val="nil"/>
                  </w:tcBorders>
                  <w:vAlign w:val="center"/>
                </w:tcPr>
                <w:p w14:paraId="6BA685CE">
                  <w:pPr>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b/>
                      <w:sz w:val="21"/>
                      <w:szCs w:val="21"/>
                      <w:highlight w:val="none"/>
                    </w:rPr>
                    <w:t>设备名称</w:t>
                  </w:r>
                </w:p>
              </w:tc>
              <w:tc>
                <w:tcPr>
                  <w:tcW w:w="845" w:type="pct"/>
                  <w:tcBorders>
                    <w:tl2br w:val="nil"/>
                    <w:tr2bl w:val="nil"/>
                  </w:tcBorders>
                  <w:vAlign w:val="center"/>
                </w:tcPr>
                <w:p w14:paraId="3DC3E3C6">
                  <w:pPr>
                    <w:jc w:val="center"/>
                    <w:rPr>
                      <w:rFonts w:hint="default" w:ascii="Times New Roman" w:hAnsi="Times New Roman" w:eastAsia="宋体" w:cs="Times New Roman"/>
                      <w:b/>
                      <w:sz w:val="21"/>
                      <w:szCs w:val="21"/>
                      <w:highlight w:val="none"/>
                    </w:rPr>
                  </w:pPr>
                  <w:r>
                    <w:rPr>
                      <w:rFonts w:hint="default" w:ascii="Times New Roman" w:hAnsi="Times New Roman" w:eastAsia="宋体" w:cs="Times New Roman"/>
                      <w:b/>
                      <w:sz w:val="21"/>
                      <w:szCs w:val="21"/>
                      <w:highlight w:val="none"/>
                    </w:rPr>
                    <w:t>型号</w:t>
                  </w:r>
                </w:p>
              </w:tc>
              <w:tc>
                <w:tcPr>
                  <w:tcW w:w="726" w:type="pct"/>
                  <w:tcBorders>
                    <w:tl2br w:val="nil"/>
                    <w:tr2bl w:val="nil"/>
                  </w:tcBorders>
                  <w:vAlign w:val="center"/>
                </w:tcPr>
                <w:p w14:paraId="1DAD2344">
                  <w:pPr>
                    <w:jc w:val="center"/>
                    <w:rPr>
                      <w:rFonts w:hint="default" w:ascii="Times New Roman" w:hAnsi="Times New Roman" w:eastAsia="宋体" w:cs="Times New Roman"/>
                      <w:b/>
                      <w:sz w:val="21"/>
                      <w:szCs w:val="21"/>
                      <w:highlight w:val="none"/>
                    </w:rPr>
                  </w:pPr>
                  <w:r>
                    <w:rPr>
                      <w:rFonts w:hint="default" w:ascii="Times New Roman" w:hAnsi="Times New Roman" w:eastAsia="宋体" w:cs="Times New Roman"/>
                      <w:b/>
                      <w:sz w:val="21"/>
                      <w:szCs w:val="21"/>
                      <w:highlight w:val="none"/>
                    </w:rPr>
                    <w:t>编号</w:t>
                  </w:r>
                </w:p>
              </w:tc>
            </w:tr>
            <w:tr w14:paraId="14EE3C4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620" w:type="pct"/>
                  <w:vMerge w:val="restart"/>
                  <w:tcBorders>
                    <w:tl2br w:val="nil"/>
                    <w:tr2bl w:val="nil"/>
                  </w:tcBorders>
                  <w:vAlign w:val="center"/>
                </w:tcPr>
                <w:p w14:paraId="366E8AB6">
                  <w:pPr>
                    <w:autoSpaceDE w:val="0"/>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废水</w:t>
                  </w:r>
                </w:p>
              </w:tc>
              <w:tc>
                <w:tcPr>
                  <w:tcW w:w="1413" w:type="pct"/>
                  <w:vMerge w:val="restart"/>
                  <w:tcBorders>
                    <w:tl2br w:val="nil"/>
                    <w:tr2bl w:val="nil"/>
                  </w:tcBorders>
                  <w:shd w:val="clear" w:color="auto" w:fill="auto"/>
                  <w:vAlign w:val="center"/>
                </w:tcPr>
                <w:p w14:paraId="6F053135">
                  <w:pPr>
                    <w:autoSpaceDE w:val="0"/>
                    <w:jc w:val="center"/>
                    <w:rPr>
                      <w:rFonts w:hint="default" w:ascii="Times New Roman" w:hAnsi="Times New Roman" w:eastAsia="宋体" w:cs="Times New Roman"/>
                      <w:kern w:val="2"/>
                      <w:sz w:val="21"/>
                      <w:szCs w:val="21"/>
                      <w:highlight w:val="none"/>
                      <w:lang w:val="en-US" w:eastAsia="zh-CN" w:bidi="ar"/>
                    </w:rPr>
                  </w:pPr>
                  <w:r>
                    <w:rPr>
                      <w:rFonts w:hint="default" w:ascii="Times New Roman" w:hAnsi="Times New Roman" w:eastAsia="宋体" w:cs="Times New Roman"/>
                      <w:sz w:val="21"/>
                      <w:szCs w:val="21"/>
                      <w:highlight w:val="none"/>
                    </w:rPr>
                    <w:t>五日生化需氧量（BOD5）</w:t>
                  </w:r>
                </w:p>
              </w:tc>
              <w:tc>
                <w:tcPr>
                  <w:tcW w:w="1394" w:type="pct"/>
                  <w:tcBorders>
                    <w:tl2br w:val="nil"/>
                    <w:tr2bl w:val="nil"/>
                  </w:tcBorders>
                  <w:shd w:val="clear" w:color="auto" w:fill="auto"/>
                  <w:vAlign w:val="center"/>
                </w:tcPr>
                <w:p w14:paraId="6CA4BE2F">
                  <w:pPr>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溶解氧测定仪</w:t>
                  </w:r>
                </w:p>
              </w:tc>
              <w:tc>
                <w:tcPr>
                  <w:tcW w:w="845" w:type="pct"/>
                  <w:tcBorders>
                    <w:tl2br w:val="nil"/>
                    <w:tr2bl w:val="nil"/>
                  </w:tcBorders>
                  <w:shd w:val="clear" w:color="auto" w:fill="auto"/>
                  <w:vAlign w:val="center"/>
                </w:tcPr>
                <w:p w14:paraId="59673CE7">
                  <w:pPr>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JPSJ-605F型</w:t>
                  </w:r>
                </w:p>
              </w:tc>
              <w:tc>
                <w:tcPr>
                  <w:tcW w:w="726" w:type="pct"/>
                  <w:tcBorders>
                    <w:tl2br w:val="nil"/>
                    <w:tr2bl w:val="nil"/>
                  </w:tcBorders>
                  <w:shd w:val="clear" w:color="auto" w:fill="auto"/>
                  <w:vAlign w:val="center"/>
                </w:tcPr>
                <w:p w14:paraId="344C79BD">
                  <w:pPr>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YQ-10055</w:t>
                  </w:r>
                </w:p>
              </w:tc>
            </w:tr>
            <w:tr w14:paraId="3866344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620" w:type="pct"/>
                  <w:vMerge w:val="continue"/>
                  <w:tcBorders>
                    <w:tl2br w:val="nil"/>
                    <w:tr2bl w:val="nil"/>
                  </w:tcBorders>
                  <w:vAlign w:val="center"/>
                </w:tcPr>
                <w:p w14:paraId="314608B4">
                  <w:pPr>
                    <w:autoSpaceDE w:val="0"/>
                    <w:jc w:val="center"/>
                    <w:rPr>
                      <w:rFonts w:hint="default" w:ascii="Times New Roman" w:hAnsi="Times New Roman" w:eastAsia="宋体" w:cs="Times New Roman"/>
                      <w:sz w:val="21"/>
                      <w:szCs w:val="21"/>
                      <w:highlight w:val="none"/>
                    </w:rPr>
                  </w:pPr>
                </w:p>
              </w:tc>
              <w:tc>
                <w:tcPr>
                  <w:tcW w:w="1413" w:type="pct"/>
                  <w:vMerge w:val="continue"/>
                  <w:tcBorders>
                    <w:tl2br w:val="nil"/>
                    <w:tr2bl w:val="nil"/>
                  </w:tcBorders>
                  <w:shd w:val="clear" w:color="auto" w:fill="auto"/>
                  <w:vAlign w:val="center"/>
                </w:tcPr>
                <w:p w14:paraId="3B637520">
                  <w:pPr>
                    <w:autoSpaceDE w:val="0"/>
                    <w:jc w:val="center"/>
                    <w:rPr>
                      <w:rFonts w:hint="default" w:ascii="Times New Roman" w:hAnsi="Times New Roman" w:eastAsia="宋体" w:cs="Times New Roman"/>
                      <w:kern w:val="2"/>
                      <w:sz w:val="21"/>
                      <w:szCs w:val="21"/>
                      <w:highlight w:val="none"/>
                      <w:lang w:val="en-US" w:eastAsia="zh-CN" w:bidi="ar"/>
                    </w:rPr>
                  </w:pPr>
                </w:p>
              </w:tc>
              <w:tc>
                <w:tcPr>
                  <w:tcW w:w="1394" w:type="pct"/>
                  <w:tcBorders>
                    <w:tl2br w:val="nil"/>
                    <w:tr2bl w:val="nil"/>
                  </w:tcBorders>
                  <w:shd w:val="clear" w:color="auto" w:fill="auto"/>
                  <w:vAlign w:val="center"/>
                </w:tcPr>
                <w:p w14:paraId="210A141D">
                  <w:pPr>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生化培养箱</w:t>
                  </w:r>
                </w:p>
              </w:tc>
              <w:tc>
                <w:tcPr>
                  <w:tcW w:w="845" w:type="pct"/>
                  <w:tcBorders>
                    <w:tl2br w:val="nil"/>
                    <w:tr2bl w:val="nil"/>
                  </w:tcBorders>
                  <w:shd w:val="clear" w:color="auto" w:fill="auto"/>
                  <w:vAlign w:val="center"/>
                </w:tcPr>
                <w:p w14:paraId="5D65486E">
                  <w:pPr>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LRH-150型</w:t>
                  </w:r>
                </w:p>
              </w:tc>
              <w:tc>
                <w:tcPr>
                  <w:tcW w:w="726" w:type="pct"/>
                  <w:tcBorders>
                    <w:tl2br w:val="nil"/>
                    <w:tr2bl w:val="nil"/>
                  </w:tcBorders>
                  <w:shd w:val="clear" w:color="auto" w:fill="auto"/>
                  <w:vAlign w:val="center"/>
                </w:tcPr>
                <w:p w14:paraId="0F77EA96">
                  <w:pPr>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YQ-10033</w:t>
                  </w:r>
                </w:p>
              </w:tc>
            </w:tr>
            <w:tr w14:paraId="0C7C58E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620" w:type="pct"/>
                  <w:vMerge w:val="continue"/>
                  <w:tcBorders>
                    <w:tl2br w:val="nil"/>
                    <w:tr2bl w:val="nil"/>
                  </w:tcBorders>
                  <w:vAlign w:val="center"/>
                </w:tcPr>
                <w:p w14:paraId="706C7E15">
                  <w:pPr>
                    <w:autoSpaceDE w:val="0"/>
                    <w:jc w:val="center"/>
                    <w:rPr>
                      <w:rFonts w:hint="default" w:ascii="Times New Roman" w:hAnsi="Times New Roman" w:eastAsia="宋体" w:cs="Times New Roman"/>
                      <w:sz w:val="21"/>
                      <w:szCs w:val="21"/>
                      <w:highlight w:val="none"/>
                    </w:rPr>
                  </w:pPr>
                </w:p>
              </w:tc>
              <w:tc>
                <w:tcPr>
                  <w:tcW w:w="1413" w:type="pct"/>
                  <w:vMerge w:val="restart"/>
                  <w:tcBorders>
                    <w:tl2br w:val="nil"/>
                    <w:tr2bl w:val="nil"/>
                  </w:tcBorders>
                  <w:shd w:val="clear" w:color="auto" w:fill="auto"/>
                  <w:vAlign w:val="center"/>
                </w:tcPr>
                <w:p w14:paraId="0E857A0A">
                  <w:pPr>
                    <w:autoSpaceDE w:val="0"/>
                    <w:jc w:val="center"/>
                    <w:rPr>
                      <w:rFonts w:hint="default" w:ascii="Times New Roman" w:hAnsi="Times New Roman" w:eastAsia="宋体" w:cs="Times New Roman"/>
                      <w:kern w:val="2"/>
                      <w:sz w:val="21"/>
                      <w:szCs w:val="21"/>
                      <w:highlight w:val="none"/>
                      <w:lang w:val="en-US" w:eastAsia="zh-CN" w:bidi="ar"/>
                    </w:rPr>
                  </w:pPr>
                  <w:r>
                    <w:rPr>
                      <w:rFonts w:hint="default" w:ascii="Times New Roman" w:hAnsi="Times New Roman" w:eastAsia="宋体" w:cs="Times New Roman"/>
                      <w:sz w:val="21"/>
                      <w:szCs w:val="21"/>
                      <w:highlight w:val="none"/>
                      <w:lang w:val="en-US" w:eastAsia="zh-CN" w:bidi="ar"/>
                    </w:rPr>
                    <w:t>全盐量（可溶性固体总量）</w:t>
                  </w:r>
                </w:p>
              </w:tc>
              <w:tc>
                <w:tcPr>
                  <w:tcW w:w="1394" w:type="pct"/>
                  <w:tcBorders>
                    <w:tl2br w:val="nil"/>
                    <w:tr2bl w:val="nil"/>
                  </w:tcBorders>
                  <w:vAlign w:val="center"/>
                </w:tcPr>
                <w:p w14:paraId="44FBF4C8">
                  <w:pPr>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电子天平</w:t>
                  </w:r>
                </w:p>
              </w:tc>
              <w:tc>
                <w:tcPr>
                  <w:tcW w:w="845" w:type="pct"/>
                  <w:tcBorders>
                    <w:tl2br w:val="nil"/>
                    <w:tr2bl w:val="nil"/>
                  </w:tcBorders>
                  <w:vAlign w:val="center"/>
                </w:tcPr>
                <w:p w14:paraId="47C1432A">
                  <w:pPr>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lang w:val="en-US" w:eastAsia="zh-CN"/>
                    </w:rPr>
                    <w:t>ME204E/A</w:t>
                  </w:r>
                  <w:r>
                    <w:rPr>
                      <w:rFonts w:hint="default" w:ascii="Times New Roman" w:hAnsi="Times New Roman" w:eastAsia="宋体" w:cs="Times New Roman"/>
                      <w:sz w:val="21"/>
                      <w:szCs w:val="21"/>
                      <w:highlight w:val="none"/>
                    </w:rPr>
                    <w:t>型</w:t>
                  </w:r>
                </w:p>
              </w:tc>
              <w:tc>
                <w:tcPr>
                  <w:tcW w:w="726" w:type="pct"/>
                  <w:tcBorders>
                    <w:tl2br w:val="nil"/>
                    <w:tr2bl w:val="nil"/>
                  </w:tcBorders>
                  <w:vAlign w:val="center"/>
                </w:tcPr>
                <w:p w14:paraId="602CBE01">
                  <w:pPr>
                    <w:autoSpaceDE w:val="0"/>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bidi="ar"/>
                    </w:rPr>
                    <w:t>YQ-</w:t>
                  </w:r>
                  <w:r>
                    <w:rPr>
                      <w:rFonts w:hint="default" w:ascii="Times New Roman" w:hAnsi="Times New Roman" w:eastAsia="宋体" w:cs="Times New Roman"/>
                      <w:sz w:val="21"/>
                      <w:szCs w:val="21"/>
                      <w:highlight w:val="none"/>
                      <w:lang w:val="en-US" w:eastAsia="zh-CN" w:bidi="ar"/>
                    </w:rPr>
                    <w:t>10223</w:t>
                  </w:r>
                </w:p>
              </w:tc>
            </w:tr>
            <w:tr w14:paraId="36AC433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620" w:type="pct"/>
                  <w:vMerge w:val="continue"/>
                  <w:tcBorders>
                    <w:tl2br w:val="nil"/>
                    <w:tr2bl w:val="nil"/>
                  </w:tcBorders>
                  <w:vAlign w:val="center"/>
                </w:tcPr>
                <w:p w14:paraId="4712EDF2">
                  <w:pPr>
                    <w:autoSpaceDE w:val="0"/>
                    <w:jc w:val="center"/>
                    <w:rPr>
                      <w:rFonts w:hint="default" w:ascii="Times New Roman" w:hAnsi="Times New Roman" w:eastAsia="宋体" w:cs="Times New Roman"/>
                      <w:sz w:val="21"/>
                      <w:szCs w:val="21"/>
                      <w:highlight w:val="none"/>
                    </w:rPr>
                  </w:pPr>
                </w:p>
              </w:tc>
              <w:tc>
                <w:tcPr>
                  <w:tcW w:w="1413" w:type="pct"/>
                  <w:vMerge w:val="continue"/>
                  <w:tcBorders>
                    <w:tl2br w:val="nil"/>
                    <w:tr2bl w:val="nil"/>
                  </w:tcBorders>
                  <w:shd w:val="clear" w:color="auto" w:fill="auto"/>
                  <w:vAlign w:val="center"/>
                </w:tcPr>
                <w:p w14:paraId="69C15E27">
                  <w:pPr>
                    <w:autoSpaceDE w:val="0"/>
                    <w:jc w:val="center"/>
                    <w:rPr>
                      <w:rFonts w:hint="default" w:ascii="Times New Roman" w:hAnsi="Times New Roman" w:eastAsia="宋体" w:cs="Times New Roman"/>
                      <w:sz w:val="21"/>
                      <w:szCs w:val="21"/>
                      <w:highlight w:val="none"/>
                      <w:lang w:val="en-US" w:eastAsia="zh-CN" w:bidi="ar"/>
                    </w:rPr>
                  </w:pPr>
                </w:p>
              </w:tc>
              <w:tc>
                <w:tcPr>
                  <w:tcW w:w="1394" w:type="pct"/>
                  <w:tcBorders>
                    <w:tl2br w:val="nil"/>
                    <w:tr2bl w:val="nil"/>
                  </w:tcBorders>
                  <w:vAlign w:val="center"/>
                </w:tcPr>
                <w:p w14:paraId="4F648B46">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电热鼓风干燥箱</w:t>
                  </w:r>
                </w:p>
              </w:tc>
              <w:tc>
                <w:tcPr>
                  <w:tcW w:w="845" w:type="pct"/>
                  <w:tcBorders>
                    <w:tl2br w:val="nil"/>
                    <w:tr2bl w:val="nil"/>
                  </w:tcBorders>
                  <w:vAlign w:val="center"/>
                </w:tcPr>
                <w:p w14:paraId="389A799A">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101-1AB</w:t>
                  </w:r>
                  <w:r>
                    <w:rPr>
                      <w:rFonts w:hint="default" w:ascii="Times New Roman" w:hAnsi="Times New Roman" w:eastAsia="宋体" w:cs="Times New Roman"/>
                      <w:sz w:val="21"/>
                      <w:szCs w:val="21"/>
                      <w:highlight w:val="none"/>
                    </w:rPr>
                    <w:t>型</w:t>
                  </w:r>
                </w:p>
              </w:tc>
              <w:tc>
                <w:tcPr>
                  <w:tcW w:w="726" w:type="pct"/>
                  <w:tcBorders>
                    <w:tl2br w:val="nil"/>
                    <w:tr2bl w:val="nil"/>
                  </w:tcBorders>
                  <w:vAlign w:val="center"/>
                </w:tcPr>
                <w:p w14:paraId="3CF4EA28">
                  <w:pPr>
                    <w:autoSpaceDE w:val="0"/>
                    <w:jc w:val="center"/>
                    <w:rPr>
                      <w:rFonts w:hint="default" w:ascii="Times New Roman" w:hAnsi="Times New Roman" w:eastAsia="宋体" w:cs="Times New Roman"/>
                      <w:sz w:val="21"/>
                      <w:szCs w:val="21"/>
                      <w:highlight w:val="none"/>
                      <w:lang w:val="en-US" w:bidi="ar"/>
                    </w:rPr>
                  </w:pPr>
                  <w:r>
                    <w:rPr>
                      <w:rFonts w:hint="default" w:ascii="Times New Roman" w:hAnsi="Times New Roman" w:eastAsia="宋体" w:cs="Times New Roman"/>
                      <w:sz w:val="21"/>
                      <w:szCs w:val="21"/>
                      <w:highlight w:val="none"/>
                      <w:lang w:bidi="ar"/>
                    </w:rPr>
                    <w:t>YQ-</w:t>
                  </w:r>
                  <w:r>
                    <w:rPr>
                      <w:rFonts w:hint="default" w:ascii="Times New Roman" w:hAnsi="Times New Roman" w:eastAsia="宋体" w:cs="Times New Roman"/>
                      <w:sz w:val="21"/>
                      <w:szCs w:val="21"/>
                      <w:highlight w:val="none"/>
                      <w:lang w:val="en-US" w:eastAsia="zh-CN" w:bidi="ar"/>
                    </w:rPr>
                    <w:t>10013</w:t>
                  </w:r>
                </w:p>
              </w:tc>
            </w:tr>
            <w:tr w14:paraId="272BD72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620" w:type="pct"/>
                  <w:vMerge w:val="continue"/>
                  <w:tcBorders>
                    <w:tl2br w:val="nil"/>
                    <w:tr2bl w:val="nil"/>
                  </w:tcBorders>
                  <w:vAlign w:val="center"/>
                </w:tcPr>
                <w:p w14:paraId="39C7DC99">
                  <w:pPr>
                    <w:autoSpaceDE w:val="0"/>
                    <w:jc w:val="center"/>
                    <w:rPr>
                      <w:rFonts w:hint="default" w:ascii="Times New Roman" w:hAnsi="Times New Roman" w:eastAsia="宋体" w:cs="Times New Roman"/>
                      <w:sz w:val="21"/>
                      <w:szCs w:val="21"/>
                      <w:highlight w:val="none"/>
                    </w:rPr>
                  </w:pPr>
                </w:p>
              </w:tc>
              <w:tc>
                <w:tcPr>
                  <w:tcW w:w="1413" w:type="pct"/>
                  <w:tcBorders>
                    <w:tl2br w:val="nil"/>
                    <w:tr2bl w:val="nil"/>
                  </w:tcBorders>
                  <w:shd w:val="clear" w:color="auto" w:fill="auto"/>
                  <w:vAlign w:val="center"/>
                </w:tcPr>
                <w:p w14:paraId="52A5C1F5">
                  <w:pPr>
                    <w:autoSpaceDE w:val="0"/>
                    <w:jc w:val="center"/>
                    <w:rPr>
                      <w:rFonts w:hint="default" w:ascii="Times New Roman" w:hAnsi="Times New Roman" w:eastAsia="宋体" w:cs="Times New Roman"/>
                      <w:kern w:val="2"/>
                      <w:sz w:val="21"/>
                      <w:szCs w:val="21"/>
                      <w:highlight w:val="none"/>
                      <w:lang w:val="en-US" w:eastAsia="zh-CN" w:bidi="ar"/>
                    </w:rPr>
                  </w:pPr>
                  <w:r>
                    <w:rPr>
                      <w:rFonts w:hint="default" w:ascii="Times New Roman" w:hAnsi="Times New Roman" w:eastAsia="宋体" w:cs="Times New Roman"/>
                      <w:sz w:val="21"/>
                      <w:szCs w:val="21"/>
                      <w:highlight w:val="none"/>
                    </w:rPr>
                    <w:t>化学需氧量</w:t>
                  </w:r>
                </w:p>
              </w:tc>
              <w:tc>
                <w:tcPr>
                  <w:tcW w:w="1394" w:type="pct"/>
                  <w:tcBorders>
                    <w:tl2br w:val="nil"/>
                    <w:tr2bl w:val="nil"/>
                  </w:tcBorders>
                  <w:vAlign w:val="center"/>
                </w:tcPr>
                <w:p w14:paraId="38CC7B0E">
                  <w:pPr>
                    <w:jc w:val="center"/>
                    <w:rPr>
                      <w:rFonts w:hint="default" w:ascii="Times New Roman" w:hAnsi="Times New Roman" w:eastAsia="宋体" w:cs="Times New Roman"/>
                      <w:sz w:val="21"/>
                      <w:szCs w:val="21"/>
                      <w:highlight w:val="none"/>
                      <w:lang w:val="zh-TW" w:eastAsia="zh-CN"/>
                    </w:rPr>
                  </w:pPr>
                  <w:r>
                    <w:rPr>
                      <w:rFonts w:hint="default" w:ascii="Times New Roman" w:hAnsi="Times New Roman" w:eastAsia="宋体" w:cs="Times New Roman"/>
                      <w:sz w:val="21"/>
                      <w:szCs w:val="21"/>
                      <w:highlight w:val="none"/>
                      <w:lang w:val="en-US" w:eastAsia="zh-CN"/>
                    </w:rPr>
                    <w:t>滴定管</w:t>
                  </w:r>
                </w:p>
              </w:tc>
              <w:tc>
                <w:tcPr>
                  <w:tcW w:w="845" w:type="pct"/>
                  <w:tcBorders>
                    <w:tl2br w:val="nil"/>
                    <w:tr2bl w:val="nil"/>
                  </w:tcBorders>
                  <w:vAlign w:val="center"/>
                </w:tcPr>
                <w:p w14:paraId="1D3D2396">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w:t>
                  </w:r>
                </w:p>
              </w:tc>
              <w:tc>
                <w:tcPr>
                  <w:tcW w:w="726" w:type="pct"/>
                  <w:tcBorders>
                    <w:tl2br w:val="nil"/>
                    <w:tr2bl w:val="nil"/>
                  </w:tcBorders>
                  <w:vAlign w:val="center"/>
                </w:tcPr>
                <w:p w14:paraId="5EC5EEE4">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rPr>
                    <w:t>YQ-</w:t>
                  </w:r>
                  <w:r>
                    <w:rPr>
                      <w:rFonts w:hint="default" w:ascii="Times New Roman" w:hAnsi="Times New Roman" w:eastAsia="宋体" w:cs="Times New Roman"/>
                      <w:sz w:val="21"/>
                      <w:szCs w:val="21"/>
                      <w:highlight w:val="none"/>
                      <w:lang w:val="en-US" w:eastAsia="zh-CN"/>
                    </w:rPr>
                    <w:t>30035</w:t>
                  </w:r>
                </w:p>
              </w:tc>
            </w:tr>
            <w:tr w14:paraId="721661E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620" w:type="pct"/>
                  <w:vMerge w:val="continue"/>
                  <w:tcBorders>
                    <w:tl2br w:val="nil"/>
                    <w:tr2bl w:val="nil"/>
                  </w:tcBorders>
                  <w:vAlign w:val="center"/>
                </w:tcPr>
                <w:p w14:paraId="2532BFEA">
                  <w:pPr>
                    <w:autoSpaceDE w:val="0"/>
                    <w:jc w:val="center"/>
                    <w:rPr>
                      <w:rFonts w:hint="default" w:ascii="Times New Roman" w:hAnsi="Times New Roman" w:eastAsia="宋体" w:cs="Times New Roman"/>
                      <w:sz w:val="21"/>
                      <w:szCs w:val="21"/>
                      <w:highlight w:val="none"/>
                    </w:rPr>
                  </w:pPr>
                </w:p>
              </w:tc>
              <w:tc>
                <w:tcPr>
                  <w:tcW w:w="1413" w:type="pct"/>
                  <w:vMerge w:val="restart"/>
                  <w:tcBorders>
                    <w:tl2br w:val="nil"/>
                    <w:tr2bl w:val="nil"/>
                  </w:tcBorders>
                  <w:shd w:val="clear" w:color="auto" w:fill="auto"/>
                  <w:vAlign w:val="center"/>
                </w:tcPr>
                <w:p w14:paraId="0AEB568E">
                  <w:pPr>
                    <w:autoSpaceDE w:val="0"/>
                    <w:jc w:val="center"/>
                    <w:rPr>
                      <w:rFonts w:hint="default" w:ascii="Times New Roman" w:hAnsi="Times New Roman" w:eastAsia="宋体" w:cs="Times New Roman"/>
                      <w:kern w:val="2"/>
                      <w:sz w:val="21"/>
                      <w:szCs w:val="21"/>
                      <w:highlight w:val="none"/>
                      <w:lang w:val="en-US" w:eastAsia="zh-CN" w:bidi="ar"/>
                    </w:rPr>
                  </w:pPr>
                  <w:r>
                    <w:rPr>
                      <w:rFonts w:hint="default" w:ascii="Times New Roman" w:hAnsi="Times New Roman" w:eastAsia="宋体" w:cs="Times New Roman"/>
                      <w:sz w:val="21"/>
                      <w:szCs w:val="21"/>
                      <w:highlight w:val="none"/>
                      <w:lang w:val="en-US" w:eastAsia="zh-CN" w:bidi="ar"/>
                    </w:rPr>
                    <w:t>悬浮物</w:t>
                  </w:r>
                </w:p>
              </w:tc>
              <w:tc>
                <w:tcPr>
                  <w:tcW w:w="1394" w:type="pct"/>
                  <w:tcBorders>
                    <w:tl2br w:val="nil"/>
                    <w:tr2bl w:val="nil"/>
                  </w:tcBorders>
                  <w:vAlign w:val="center"/>
                </w:tcPr>
                <w:p w14:paraId="3C2D8F3F">
                  <w:pPr>
                    <w:jc w:val="center"/>
                    <w:rPr>
                      <w:rFonts w:hint="default" w:ascii="Times New Roman" w:hAnsi="Times New Roman" w:eastAsia="宋体" w:cs="Times New Roman"/>
                      <w:sz w:val="21"/>
                      <w:szCs w:val="21"/>
                      <w:highlight w:val="none"/>
                      <w:lang w:val="zh-TW" w:eastAsia="zh-TW"/>
                    </w:rPr>
                  </w:pPr>
                  <w:r>
                    <w:rPr>
                      <w:rFonts w:hint="default" w:ascii="Times New Roman" w:hAnsi="Times New Roman" w:eastAsia="宋体" w:cs="Times New Roman"/>
                      <w:sz w:val="21"/>
                      <w:szCs w:val="21"/>
                      <w:highlight w:val="none"/>
                    </w:rPr>
                    <w:t>电子天平</w:t>
                  </w:r>
                </w:p>
              </w:tc>
              <w:tc>
                <w:tcPr>
                  <w:tcW w:w="845" w:type="pct"/>
                  <w:tcBorders>
                    <w:tl2br w:val="nil"/>
                    <w:tr2bl w:val="nil"/>
                  </w:tcBorders>
                  <w:vAlign w:val="center"/>
                </w:tcPr>
                <w:p w14:paraId="72119690">
                  <w:pPr>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lang w:val="en-US" w:eastAsia="zh-CN"/>
                    </w:rPr>
                    <w:t>ME204E/A</w:t>
                  </w:r>
                  <w:r>
                    <w:rPr>
                      <w:rFonts w:hint="default" w:ascii="Times New Roman" w:hAnsi="Times New Roman" w:eastAsia="宋体" w:cs="Times New Roman"/>
                      <w:sz w:val="21"/>
                      <w:szCs w:val="21"/>
                      <w:highlight w:val="none"/>
                    </w:rPr>
                    <w:t>型</w:t>
                  </w:r>
                </w:p>
              </w:tc>
              <w:tc>
                <w:tcPr>
                  <w:tcW w:w="726" w:type="pct"/>
                  <w:tcBorders>
                    <w:tl2br w:val="nil"/>
                    <w:tr2bl w:val="nil"/>
                  </w:tcBorders>
                  <w:vAlign w:val="center"/>
                </w:tcPr>
                <w:p w14:paraId="667348BD">
                  <w:pPr>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lang w:bidi="ar"/>
                    </w:rPr>
                    <w:t>YQ-</w:t>
                  </w:r>
                  <w:r>
                    <w:rPr>
                      <w:rFonts w:hint="default" w:ascii="Times New Roman" w:hAnsi="Times New Roman" w:eastAsia="宋体" w:cs="Times New Roman"/>
                      <w:sz w:val="21"/>
                      <w:szCs w:val="21"/>
                      <w:highlight w:val="none"/>
                      <w:lang w:val="en-US" w:eastAsia="zh-CN" w:bidi="ar"/>
                    </w:rPr>
                    <w:t>10223</w:t>
                  </w:r>
                </w:p>
              </w:tc>
            </w:tr>
            <w:tr w14:paraId="2DCDBE2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620" w:type="pct"/>
                  <w:vMerge w:val="continue"/>
                  <w:tcBorders>
                    <w:tl2br w:val="nil"/>
                    <w:tr2bl w:val="nil"/>
                  </w:tcBorders>
                  <w:vAlign w:val="center"/>
                </w:tcPr>
                <w:p w14:paraId="6BCF6E1C">
                  <w:pPr>
                    <w:autoSpaceDE w:val="0"/>
                    <w:jc w:val="center"/>
                    <w:rPr>
                      <w:rFonts w:hint="default" w:ascii="Times New Roman" w:hAnsi="Times New Roman" w:eastAsia="宋体" w:cs="Times New Roman"/>
                      <w:sz w:val="21"/>
                      <w:szCs w:val="21"/>
                      <w:highlight w:val="none"/>
                    </w:rPr>
                  </w:pPr>
                </w:p>
              </w:tc>
              <w:tc>
                <w:tcPr>
                  <w:tcW w:w="1413" w:type="pct"/>
                  <w:vMerge w:val="continue"/>
                  <w:tcBorders>
                    <w:tl2br w:val="nil"/>
                    <w:tr2bl w:val="nil"/>
                  </w:tcBorders>
                  <w:shd w:val="clear" w:color="auto" w:fill="auto"/>
                  <w:vAlign w:val="center"/>
                </w:tcPr>
                <w:p w14:paraId="044000E3">
                  <w:pPr>
                    <w:autoSpaceDE w:val="0"/>
                    <w:jc w:val="center"/>
                    <w:rPr>
                      <w:rFonts w:hint="default" w:ascii="Times New Roman" w:hAnsi="Times New Roman" w:eastAsia="宋体" w:cs="Times New Roman"/>
                      <w:sz w:val="21"/>
                      <w:szCs w:val="21"/>
                      <w:highlight w:val="none"/>
                      <w:lang w:val="en-US" w:eastAsia="zh-CN" w:bidi="ar"/>
                    </w:rPr>
                  </w:pPr>
                </w:p>
              </w:tc>
              <w:tc>
                <w:tcPr>
                  <w:tcW w:w="1394" w:type="pct"/>
                  <w:tcBorders>
                    <w:tl2br w:val="nil"/>
                    <w:tr2bl w:val="nil"/>
                  </w:tcBorders>
                  <w:shd w:val="clear" w:color="auto" w:fill="auto"/>
                  <w:vAlign w:val="center"/>
                </w:tcPr>
                <w:p w14:paraId="633CF5CF">
                  <w:pPr>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lang w:val="en-US" w:eastAsia="zh-CN"/>
                    </w:rPr>
                    <w:t>电热鼓风干燥箱</w:t>
                  </w:r>
                </w:p>
              </w:tc>
              <w:tc>
                <w:tcPr>
                  <w:tcW w:w="845" w:type="pct"/>
                  <w:tcBorders>
                    <w:tl2br w:val="nil"/>
                    <w:tr2bl w:val="nil"/>
                  </w:tcBorders>
                  <w:shd w:val="clear" w:color="auto" w:fill="auto"/>
                  <w:vAlign w:val="center"/>
                </w:tcPr>
                <w:p w14:paraId="72B07F30">
                  <w:pPr>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lang w:val="en-US" w:eastAsia="zh-CN"/>
                    </w:rPr>
                    <w:t>101-1AB</w:t>
                  </w:r>
                  <w:r>
                    <w:rPr>
                      <w:rFonts w:hint="default" w:ascii="Times New Roman" w:hAnsi="Times New Roman" w:eastAsia="宋体" w:cs="Times New Roman"/>
                      <w:sz w:val="21"/>
                      <w:szCs w:val="21"/>
                      <w:highlight w:val="none"/>
                    </w:rPr>
                    <w:t>型</w:t>
                  </w:r>
                </w:p>
              </w:tc>
              <w:tc>
                <w:tcPr>
                  <w:tcW w:w="726" w:type="pct"/>
                  <w:tcBorders>
                    <w:tl2br w:val="nil"/>
                    <w:tr2bl w:val="nil"/>
                  </w:tcBorders>
                  <w:shd w:val="clear" w:color="auto" w:fill="auto"/>
                  <w:vAlign w:val="center"/>
                </w:tcPr>
                <w:p w14:paraId="35AA54A9">
                  <w:pPr>
                    <w:autoSpaceDE w:val="0"/>
                    <w:jc w:val="center"/>
                    <w:rPr>
                      <w:rFonts w:hint="default" w:ascii="Times New Roman" w:hAnsi="Times New Roman" w:eastAsia="宋体" w:cs="Times New Roman"/>
                      <w:kern w:val="2"/>
                      <w:sz w:val="21"/>
                      <w:szCs w:val="21"/>
                      <w:highlight w:val="none"/>
                      <w:lang w:val="en-US" w:eastAsia="zh-CN" w:bidi="ar"/>
                    </w:rPr>
                  </w:pPr>
                  <w:r>
                    <w:rPr>
                      <w:rFonts w:hint="default" w:ascii="Times New Roman" w:hAnsi="Times New Roman" w:eastAsia="宋体" w:cs="Times New Roman"/>
                      <w:sz w:val="21"/>
                      <w:szCs w:val="21"/>
                      <w:highlight w:val="none"/>
                      <w:lang w:bidi="ar"/>
                    </w:rPr>
                    <w:t>YQ-</w:t>
                  </w:r>
                  <w:r>
                    <w:rPr>
                      <w:rFonts w:hint="default" w:ascii="Times New Roman" w:hAnsi="Times New Roman" w:eastAsia="宋体" w:cs="Times New Roman"/>
                      <w:sz w:val="21"/>
                      <w:szCs w:val="21"/>
                      <w:highlight w:val="none"/>
                      <w:lang w:val="en-US" w:eastAsia="zh-CN" w:bidi="ar"/>
                    </w:rPr>
                    <w:t>10013</w:t>
                  </w:r>
                </w:p>
              </w:tc>
            </w:tr>
            <w:tr w14:paraId="4C05DB6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620" w:type="pct"/>
                  <w:vMerge w:val="continue"/>
                  <w:tcBorders>
                    <w:tl2br w:val="nil"/>
                    <w:tr2bl w:val="nil"/>
                  </w:tcBorders>
                  <w:vAlign w:val="center"/>
                </w:tcPr>
                <w:p w14:paraId="54040883">
                  <w:pPr>
                    <w:autoSpaceDE w:val="0"/>
                    <w:jc w:val="center"/>
                    <w:rPr>
                      <w:rFonts w:hint="default" w:ascii="Times New Roman" w:hAnsi="Times New Roman" w:eastAsia="宋体" w:cs="Times New Roman"/>
                      <w:sz w:val="21"/>
                      <w:szCs w:val="21"/>
                      <w:highlight w:val="none"/>
                    </w:rPr>
                  </w:pPr>
                </w:p>
              </w:tc>
              <w:tc>
                <w:tcPr>
                  <w:tcW w:w="1413" w:type="pct"/>
                  <w:tcBorders>
                    <w:tl2br w:val="nil"/>
                    <w:tr2bl w:val="nil"/>
                  </w:tcBorders>
                  <w:shd w:val="clear" w:color="auto" w:fill="auto"/>
                  <w:vAlign w:val="center"/>
                </w:tcPr>
                <w:p w14:paraId="05A0F5D9">
                  <w:pPr>
                    <w:autoSpaceDE w:val="0"/>
                    <w:jc w:val="center"/>
                    <w:rPr>
                      <w:rFonts w:hint="default" w:ascii="Times New Roman" w:hAnsi="Times New Roman" w:eastAsia="宋体" w:cs="Times New Roman"/>
                      <w:kern w:val="2"/>
                      <w:sz w:val="21"/>
                      <w:szCs w:val="21"/>
                      <w:highlight w:val="none"/>
                      <w:lang w:val="en-US" w:eastAsia="zh-CN" w:bidi="ar"/>
                    </w:rPr>
                  </w:pPr>
                  <w:r>
                    <w:rPr>
                      <w:rFonts w:hint="default" w:ascii="Times New Roman" w:hAnsi="Times New Roman" w:eastAsia="宋体" w:cs="Times New Roman"/>
                      <w:sz w:val="21"/>
                      <w:szCs w:val="21"/>
                      <w:highlight w:val="none"/>
                      <w:lang w:bidi="ar"/>
                    </w:rPr>
                    <w:t>氨氮</w:t>
                  </w:r>
                </w:p>
              </w:tc>
              <w:tc>
                <w:tcPr>
                  <w:tcW w:w="1394" w:type="pct"/>
                  <w:tcBorders>
                    <w:tl2br w:val="nil"/>
                    <w:tr2bl w:val="nil"/>
                  </w:tcBorders>
                  <w:vAlign w:val="center"/>
                </w:tcPr>
                <w:p w14:paraId="269A8B8A">
                  <w:pPr>
                    <w:jc w:val="center"/>
                    <w:rPr>
                      <w:rFonts w:hint="default" w:ascii="Times New Roman" w:hAnsi="Times New Roman" w:eastAsia="宋体" w:cs="Times New Roman"/>
                      <w:sz w:val="21"/>
                      <w:szCs w:val="21"/>
                      <w:highlight w:val="none"/>
                      <w:lang w:val="zh-TW" w:eastAsia="zh-TW"/>
                    </w:rPr>
                  </w:pPr>
                  <w:r>
                    <w:rPr>
                      <w:rFonts w:hint="default" w:ascii="Times New Roman" w:hAnsi="Times New Roman" w:eastAsia="宋体" w:cs="Times New Roman"/>
                      <w:sz w:val="21"/>
                      <w:szCs w:val="21"/>
                      <w:highlight w:val="none"/>
                      <w:lang w:val="en-US" w:eastAsia="zh-CN"/>
                    </w:rPr>
                    <w:t>可见光</w:t>
                  </w:r>
                  <w:r>
                    <w:rPr>
                      <w:rFonts w:hint="default" w:ascii="Times New Roman" w:hAnsi="Times New Roman" w:eastAsia="宋体" w:cs="Times New Roman"/>
                      <w:sz w:val="21"/>
                      <w:szCs w:val="21"/>
                      <w:highlight w:val="none"/>
                    </w:rPr>
                    <w:t>光度计</w:t>
                  </w:r>
                </w:p>
              </w:tc>
              <w:tc>
                <w:tcPr>
                  <w:tcW w:w="845" w:type="pct"/>
                  <w:tcBorders>
                    <w:tl2br w:val="nil"/>
                    <w:tr2bl w:val="nil"/>
                  </w:tcBorders>
                  <w:vAlign w:val="center"/>
                </w:tcPr>
                <w:p w14:paraId="6A4DB03F">
                  <w:pPr>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lang w:val="en-US" w:eastAsia="zh-CN"/>
                    </w:rPr>
                    <w:t>722N型</w:t>
                  </w:r>
                </w:p>
              </w:tc>
              <w:tc>
                <w:tcPr>
                  <w:tcW w:w="726" w:type="pct"/>
                  <w:tcBorders>
                    <w:tl2br w:val="nil"/>
                    <w:tr2bl w:val="nil"/>
                  </w:tcBorders>
                  <w:vAlign w:val="center"/>
                </w:tcPr>
                <w:p w14:paraId="13B61E72">
                  <w:pPr>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YQ-10</w:t>
                  </w:r>
                  <w:r>
                    <w:rPr>
                      <w:rFonts w:hint="default" w:ascii="Times New Roman" w:hAnsi="Times New Roman" w:eastAsia="宋体" w:cs="Times New Roman"/>
                      <w:sz w:val="21"/>
                      <w:szCs w:val="21"/>
                      <w:highlight w:val="none"/>
                      <w:lang w:val="en-US" w:eastAsia="zh-CN"/>
                    </w:rPr>
                    <w:t>006</w:t>
                  </w:r>
                </w:p>
              </w:tc>
            </w:tr>
            <w:tr w14:paraId="64E1567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620" w:type="pct"/>
                  <w:vMerge w:val="restart"/>
                  <w:tcBorders>
                    <w:tl2br w:val="nil"/>
                    <w:tr2bl w:val="nil"/>
                  </w:tcBorders>
                  <w:vAlign w:val="center"/>
                </w:tcPr>
                <w:p w14:paraId="7B57627B">
                  <w:pPr>
                    <w:autoSpaceDE w:val="0"/>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废气</w:t>
                  </w:r>
                </w:p>
              </w:tc>
              <w:tc>
                <w:tcPr>
                  <w:tcW w:w="2618" w:type="dxa"/>
                  <w:tcBorders>
                    <w:tl2br w:val="nil"/>
                    <w:tr2bl w:val="nil"/>
                  </w:tcBorders>
                  <w:vAlign w:val="center"/>
                </w:tcPr>
                <w:p w14:paraId="0D1D8377">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color w:val="auto"/>
                      <w:kern w:val="0"/>
                      <w:sz w:val="21"/>
                      <w:szCs w:val="21"/>
                      <w:highlight w:val="none"/>
                      <w:lang w:val="en-US" w:eastAsia="zh-CN"/>
                    </w:rPr>
                    <w:t>氯化氢</w:t>
                  </w:r>
                </w:p>
              </w:tc>
              <w:tc>
                <w:tcPr>
                  <w:tcW w:w="2583" w:type="dxa"/>
                  <w:tcBorders>
                    <w:tl2br w:val="nil"/>
                    <w:tr2bl w:val="nil"/>
                  </w:tcBorders>
                  <w:vAlign w:val="center"/>
                </w:tcPr>
                <w:p w14:paraId="3E775E23">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color w:val="auto"/>
                      <w:sz w:val="21"/>
                      <w:szCs w:val="21"/>
                      <w:highlight w:val="none"/>
                    </w:rPr>
                    <w:t>紫外可见分光光度计</w:t>
                  </w:r>
                </w:p>
              </w:tc>
              <w:tc>
                <w:tcPr>
                  <w:tcW w:w="1566" w:type="dxa"/>
                  <w:tcBorders>
                    <w:tl2br w:val="nil"/>
                    <w:tr2bl w:val="nil"/>
                  </w:tcBorders>
                  <w:vAlign w:val="center"/>
                </w:tcPr>
                <w:p w14:paraId="34577675">
                  <w:pPr>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sz w:val="21"/>
                      <w:szCs w:val="21"/>
                      <w:highlight w:val="none"/>
                      <w:lang w:val="en-US" w:eastAsia="zh-CN"/>
                    </w:rPr>
                    <w:t>UV-5500</w:t>
                  </w:r>
                  <w:r>
                    <w:rPr>
                      <w:rFonts w:hint="default" w:ascii="Times New Roman" w:hAnsi="Times New Roman" w:eastAsia="宋体" w:cs="Times New Roman"/>
                      <w:color w:val="auto"/>
                      <w:sz w:val="21"/>
                      <w:szCs w:val="21"/>
                      <w:highlight w:val="none"/>
                    </w:rPr>
                    <w:t>型</w:t>
                  </w:r>
                </w:p>
              </w:tc>
              <w:tc>
                <w:tcPr>
                  <w:tcW w:w="1345" w:type="dxa"/>
                  <w:tcBorders>
                    <w:tl2br w:val="nil"/>
                    <w:tr2bl w:val="nil"/>
                  </w:tcBorders>
                  <w:vAlign w:val="center"/>
                </w:tcPr>
                <w:p w14:paraId="45D656FC">
                  <w:pPr>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sz w:val="21"/>
                      <w:szCs w:val="21"/>
                      <w:highlight w:val="none"/>
                    </w:rPr>
                    <w:t>YQ-10</w:t>
                  </w:r>
                  <w:r>
                    <w:rPr>
                      <w:rFonts w:hint="default" w:ascii="Times New Roman" w:hAnsi="Times New Roman" w:eastAsia="宋体" w:cs="Times New Roman"/>
                      <w:color w:val="auto"/>
                      <w:sz w:val="21"/>
                      <w:szCs w:val="21"/>
                      <w:highlight w:val="none"/>
                      <w:lang w:val="en-US" w:eastAsia="zh-CN"/>
                    </w:rPr>
                    <w:t>192</w:t>
                  </w:r>
                </w:p>
              </w:tc>
            </w:tr>
            <w:tr w14:paraId="02E26D6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620" w:type="pct"/>
                  <w:vMerge w:val="continue"/>
                  <w:tcBorders>
                    <w:tl2br w:val="nil"/>
                    <w:tr2bl w:val="nil"/>
                  </w:tcBorders>
                  <w:vAlign w:val="center"/>
                </w:tcPr>
                <w:p w14:paraId="3125810B">
                  <w:pPr>
                    <w:autoSpaceDE w:val="0"/>
                    <w:jc w:val="center"/>
                    <w:rPr>
                      <w:rFonts w:hint="default" w:ascii="Times New Roman" w:hAnsi="Times New Roman" w:eastAsia="宋体" w:cs="Times New Roman"/>
                      <w:sz w:val="21"/>
                      <w:szCs w:val="21"/>
                      <w:highlight w:val="none"/>
                    </w:rPr>
                  </w:pPr>
                </w:p>
              </w:tc>
              <w:tc>
                <w:tcPr>
                  <w:tcW w:w="1413" w:type="pct"/>
                  <w:tcBorders>
                    <w:tl2br w:val="nil"/>
                    <w:tr2bl w:val="nil"/>
                  </w:tcBorders>
                  <w:vAlign w:val="center"/>
                </w:tcPr>
                <w:p w14:paraId="47750DAB">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非甲烷总烃</w:t>
                  </w:r>
                </w:p>
              </w:tc>
              <w:tc>
                <w:tcPr>
                  <w:tcW w:w="1394" w:type="pct"/>
                  <w:tcBorders>
                    <w:tl2br w:val="nil"/>
                    <w:tr2bl w:val="nil"/>
                  </w:tcBorders>
                  <w:vAlign w:val="center"/>
                </w:tcPr>
                <w:p w14:paraId="5331F493">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 xml:space="preserve">气相色谱仪 </w:t>
                  </w:r>
                </w:p>
              </w:tc>
              <w:tc>
                <w:tcPr>
                  <w:tcW w:w="845" w:type="pct"/>
                  <w:tcBorders>
                    <w:tl2br w:val="nil"/>
                    <w:tr2bl w:val="nil"/>
                  </w:tcBorders>
                  <w:shd w:val="clear" w:color="auto" w:fill="auto"/>
                  <w:vAlign w:val="center"/>
                </w:tcPr>
                <w:p w14:paraId="45D85EB4">
                  <w:pPr>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lang w:val="en-US" w:eastAsia="zh-CN"/>
                    </w:rPr>
                    <w:t>GC126N型</w:t>
                  </w:r>
                </w:p>
              </w:tc>
              <w:tc>
                <w:tcPr>
                  <w:tcW w:w="726" w:type="pct"/>
                  <w:tcBorders>
                    <w:tl2br w:val="nil"/>
                    <w:tr2bl w:val="nil"/>
                  </w:tcBorders>
                  <w:shd w:val="clear" w:color="auto" w:fill="auto"/>
                  <w:vAlign w:val="center"/>
                </w:tcPr>
                <w:p w14:paraId="063DC1FF">
                  <w:pPr>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lang w:val="en-US" w:eastAsia="zh-CN"/>
                    </w:rPr>
                    <w:t>YQ-10096</w:t>
                  </w:r>
                </w:p>
              </w:tc>
            </w:tr>
            <w:tr w14:paraId="12DFAFA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620" w:type="pct"/>
                  <w:vMerge w:val="continue"/>
                  <w:tcBorders>
                    <w:tl2br w:val="nil"/>
                    <w:tr2bl w:val="nil"/>
                  </w:tcBorders>
                  <w:vAlign w:val="center"/>
                </w:tcPr>
                <w:p w14:paraId="4DAB732F">
                  <w:pPr>
                    <w:autoSpaceDE w:val="0"/>
                    <w:jc w:val="center"/>
                    <w:rPr>
                      <w:rFonts w:hint="default" w:ascii="Times New Roman" w:hAnsi="Times New Roman" w:eastAsia="宋体" w:cs="Times New Roman"/>
                      <w:sz w:val="21"/>
                      <w:szCs w:val="21"/>
                      <w:highlight w:val="none"/>
                    </w:rPr>
                  </w:pPr>
                </w:p>
              </w:tc>
              <w:tc>
                <w:tcPr>
                  <w:tcW w:w="1413" w:type="pct"/>
                  <w:tcBorders>
                    <w:tl2br w:val="nil"/>
                    <w:tr2bl w:val="nil"/>
                  </w:tcBorders>
                  <w:vAlign w:val="center"/>
                </w:tcPr>
                <w:p w14:paraId="7AA31246">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color w:val="auto"/>
                      <w:kern w:val="0"/>
                      <w:sz w:val="21"/>
                      <w:szCs w:val="21"/>
                      <w:highlight w:val="none"/>
                      <w:lang w:val="en-US" w:eastAsia="zh-CN"/>
                    </w:rPr>
                    <w:t>甲醇</w:t>
                  </w:r>
                </w:p>
              </w:tc>
              <w:tc>
                <w:tcPr>
                  <w:tcW w:w="1394" w:type="pct"/>
                  <w:tcBorders>
                    <w:tl2br w:val="nil"/>
                    <w:tr2bl w:val="nil"/>
                  </w:tcBorders>
                  <w:vAlign w:val="center"/>
                </w:tcPr>
                <w:p w14:paraId="210DFAE5">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气相色谱仪</w:t>
                  </w:r>
                </w:p>
              </w:tc>
              <w:tc>
                <w:tcPr>
                  <w:tcW w:w="845" w:type="pct"/>
                  <w:tcBorders>
                    <w:tl2br w:val="nil"/>
                    <w:tr2bl w:val="nil"/>
                  </w:tcBorders>
                  <w:vAlign w:val="center"/>
                </w:tcPr>
                <w:p w14:paraId="22D818FB">
                  <w:pPr>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0"/>
                      <w:sz w:val="21"/>
                      <w:szCs w:val="21"/>
                      <w:highlight w:val="none"/>
                      <w:lang w:val="en-US" w:eastAsia="zh-CN"/>
                    </w:rPr>
                    <w:t>ZYYJ-1S-22</w:t>
                  </w:r>
                </w:p>
              </w:tc>
              <w:tc>
                <w:tcPr>
                  <w:tcW w:w="726" w:type="pct"/>
                  <w:tcBorders>
                    <w:tl2br w:val="nil"/>
                    <w:tr2bl w:val="nil"/>
                  </w:tcBorders>
                  <w:vAlign w:val="center"/>
                </w:tcPr>
                <w:p w14:paraId="38E3EEAE">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w:t>
                  </w:r>
                </w:p>
              </w:tc>
            </w:tr>
            <w:tr w14:paraId="28913EE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620" w:type="pct"/>
                  <w:vMerge w:val="restart"/>
                  <w:tcBorders>
                    <w:tl2br w:val="nil"/>
                    <w:tr2bl w:val="nil"/>
                  </w:tcBorders>
                  <w:vAlign w:val="center"/>
                </w:tcPr>
                <w:p w14:paraId="3DCB8CC1">
                  <w:pPr>
                    <w:autoSpaceDE w:val="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噪声</w:t>
                  </w:r>
                </w:p>
              </w:tc>
              <w:tc>
                <w:tcPr>
                  <w:tcW w:w="1413" w:type="pct"/>
                  <w:vMerge w:val="restart"/>
                  <w:tcBorders>
                    <w:tl2br w:val="nil"/>
                    <w:tr2bl w:val="nil"/>
                  </w:tcBorders>
                  <w:vAlign w:val="center"/>
                </w:tcPr>
                <w:p w14:paraId="15318DEE">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rPr>
                    <w:t>厂界噪声</w:t>
                  </w:r>
                </w:p>
              </w:tc>
              <w:tc>
                <w:tcPr>
                  <w:tcW w:w="1394" w:type="pct"/>
                  <w:tcBorders>
                    <w:tl2br w:val="nil"/>
                    <w:tr2bl w:val="nil"/>
                  </w:tcBorders>
                  <w:vAlign w:val="center"/>
                </w:tcPr>
                <w:p w14:paraId="679E4CED">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rPr>
                    <w:t>噪声统计分析仪</w:t>
                  </w:r>
                </w:p>
              </w:tc>
              <w:tc>
                <w:tcPr>
                  <w:tcW w:w="845" w:type="pct"/>
                  <w:tcBorders>
                    <w:tl2br w:val="nil"/>
                    <w:tr2bl w:val="nil"/>
                  </w:tcBorders>
                  <w:vAlign w:val="center"/>
                </w:tcPr>
                <w:p w14:paraId="071CE2F3">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rPr>
                    <w:t>AWA5688型</w:t>
                  </w:r>
                </w:p>
              </w:tc>
              <w:tc>
                <w:tcPr>
                  <w:tcW w:w="726" w:type="pct"/>
                  <w:tcBorders>
                    <w:tl2br w:val="nil"/>
                    <w:tr2bl w:val="nil"/>
                  </w:tcBorders>
                  <w:vAlign w:val="center"/>
                </w:tcPr>
                <w:p w14:paraId="6B64DF81">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rPr>
                    <w:t>YQ-10</w:t>
                  </w:r>
                  <w:r>
                    <w:rPr>
                      <w:rFonts w:hint="default" w:ascii="Times New Roman" w:hAnsi="Times New Roman" w:eastAsia="宋体" w:cs="Times New Roman"/>
                      <w:sz w:val="21"/>
                      <w:szCs w:val="21"/>
                      <w:highlight w:val="none"/>
                      <w:lang w:val="en-US" w:eastAsia="zh-CN"/>
                    </w:rPr>
                    <w:t>104</w:t>
                  </w:r>
                </w:p>
              </w:tc>
            </w:tr>
            <w:tr w14:paraId="7D33F00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620" w:type="pct"/>
                  <w:vMerge w:val="continue"/>
                  <w:tcBorders>
                    <w:tl2br w:val="nil"/>
                    <w:tr2bl w:val="nil"/>
                  </w:tcBorders>
                  <w:vAlign w:val="center"/>
                </w:tcPr>
                <w:p w14:paraId="6F62BFD5">
                  <w:pPr>
                    <w:autoSpaceDE w:val="0"/>
                    <w:jc w:val="center"/>
                    <w:rPr>
                      <w:rFonts w:hint="default" w:ascii="Times New Roman" w:hAnsi="Times New Roman" w:eastAsia="宋体" w:cs="Times New Roman"/>
                      <w:kern w:val="2"/>
                      <w:sz w:val="21"/>
                      <w:szCs w:val="21"/>
                      <w:highlight w:val="none"/>
                      <w:lang w:val="en-US" w:eastAsia="zh-CN" w:bidi="ar-SA"/>
                    </w:rPr>
                  </w:pPr>
                </w:p>
              </w:tc>
              <w:tc>
                <w:tcPr>
                  <w:tcW w:w="1413" w:type="pct"/>
                  <w:vMerge w:val="continue"/>
                  <w:tcBorders>
                    <w:tl2br w:val="nil"/>
                    <w:tr2bl w:val="nil"/>
                  </w:tcBorders>
                  <w:vAlign w:val="center"/>
                </w:tcPr>
                <w:p w14:paraId="5DF58531">
                  <w:pPr>
                    <w:jc w:val="center"/>
                    <w:rPr>
                      <w:rFonts w:hint="default" w:ascii="Times New Roman" w:hAnsi="Times New Roman" w:eastAsia="宋体" w:cs="Times New Roman"/>
                      <w:sz w:val="21"/>
                      <w:szCs w:val="21"/>
                      <w:highlight w:val="none"/>
                      <w:lang w:val="en-US" w:eastAsia="zh-CN"/>
                    </w:rPr>
                  </w:pPr>
                </w:p>
              </w:tc>
              <w:tc>
                <w:tcPr>
                  <w:tcW w:w="1394" w:type="pct"/>
                  <w:tcBorders>
                    <w:tl2br w:val="nil"/>
                    <w:tr2bl w:val="nil"/>
                  </w:tcBorders>
                  <w:vAlign w:val="center"/>
                </w:tcPr>
                <w:p w14:paraId="1846C697">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rPr>
                    <w:t>声校准器</w:t>
                  </w:r>
                </w:p>
              </w:tc>
              <w:tc>
                <w:tcPr>
                  <w:tcW w:w="845" w:type="pct"/>
                  <w:tcBorders>
                    <w:tl2br w:val="nil"/>
                    <w:tr2bl w:val="nil"/>
                  </w:tcBorders>
                  <w:vAlign w:val="center"/>
                </w:tcPr>
                <w:p w14:paraId="53A73291">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rPr>
                    <w:t>HS6020型</w:t>
                  </w:r>
                </w:p>
              </w:tc>
              <w:tc>
                <w:tcPr>
                  <w:tcW w:w="726" w:type="pct"/>
                  <w:tcBorders>
                    <w:tl2br w:val="nil"/>
                    <w:tr2bl w:val="nil"/>
                  </w:tcBorders>
                  <w:vAlign w:val="center"/>
                </w:tcPr>
                <w:p w14:paraId="1CDD5081">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rPr>
                    <w:t>YQ-10</w:t>
                  </w:r>
                  <w:r>
                    <w:rPr>
                      <w:rFonts w:hint="default" w:ascii="Times New Roman" w:hAnsi="Times New Roman" w:eastAsia="宋体" w:cs="Times New Roman"/>
                      <w:sz w:val="21"/>
                      <w:szCs w:val="21"/>
                      <w:highlight w:val="none"/>
                      <w:lang w:val="en-US" w:eastAsia="zh-CN"/>
                    </w:rPr>
                    <w:t>132</w:t>
                  </w:r>
                </w:p>
              </w:tc>
            </w:tr>
            <w:tr w14:paraId="19327D9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620" w:type="pct"/>
                  <w:vMerge w:val="continue"/>
                  <w:tcBorders>
                    <w:tl2br w:val="nil"/>
                    <w:tr2bl w:val="nil"/>
                  </w:tcBorders>
                  <w:vAlign w:val="center"/>
                </w:tcPr>
                <w:p w14:paraId="3CE13835">
                  <w:pPr>
                    <w:autoSpaceDE w:val="0"/>
                    <w:jc w:val="center"/>
                    <w:rPr>
                      <w:rFonts w:hint="default" w:ascii="Times New Roman" w:hAnsi="Times New Roman" w:eastAsia="宋体" w:cs="Times New Roman"/>
                      <w:kern w:val="2"/>
                      <w:sz w:val="21"/>
                      <w:szCs w:val="21"/>
                      <w:highlight w:val="none"/>
                      <w:lang w:val="en-US" w:eastAsia="zh-CN" w:bidi="ar-SA"/>
                    </w:rPr>
                  </w:pPr>
                </w:p>
              </w:tc>
              <w:tc>
                <w:tcPr>
                  <w:tcW w:w="1413" w:type="pct"/>
                  <w:vMerge w:val="continue"/>
                  <w:tcBorders>
                    <w:tl2br w:val="nil"/>
                    <w:tr2bl w:val="nil"/>
                  </w:tcBorders>
                  <w:vAlign w:val="center"/>
                </w:tcPr>
                <w:p w14:paraId="6B1E46BE">
                  <w:pPr>
                    <w:jc w:val="center"/>
                    <w:rPr>
                      <w:rFonts w:hint="default" w:ascii="Times New Roman" w:hAnsi="Times New Roman" w:eastAsia="宋体" w:cs="Times New Roman"/>
                      <w:sz w:val="21"/>
                      <w:szCs w:val="21"/>
                      <w:highlight w:val="none"/>
                      <w:lang w:val="en-US" w:eastAsia="zh-CN"/>
                    </w:rPr>
                  </w:pPr>
                </w:p>
              </w:tc>
              <w:tc>
                <w:tcPr>
                  <w:tcW w:w="1394" w:type="pct"/>
                  <w:tcBorders>
                    <w:tl2br w:val="nil"/>
                    <w:tr2bl w:val="nil"/>
                  </w:tcBorders>
                  <w:vAlign w:val="center"/>
                </w:tcPr>
                <w:p w14:paraId="7C5C82CC">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风速风向仪</w:t>
                  </w:r>
                </w:p>
              </w:tc>
              <w:tc>
                <w:tcPr>
                  <w:tcW w:w="845" w:type="pct"/>
                  <w:tcBorders>
                    <w:tl2br w:val="nil"/>
                    <w:tr2bl w:val="nil"/>
                  </w:tcBorders>
                  <w:vAlign w:val="center"/>
                </w:tcPr>
                <w:p w14:paraId="2F58C319">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P6-8232</w:t>
                  </w:r>
                  <w:r>
                    <w:rPr>
                      <w:rFonts w:hint="default" w:ascii="Times New Roman" w:hAnsi="Times New Roman" w:eastAsia="宋体" w:cs="Times New Roman"/>
                      <w:sz w:val="21"/>
                      <w:szCs w:val="21"/>
                      <w:highlight w:val="none"/>
                    </w:rPr>
                    <w:t>型</w:t>
                  </w:r>
                </w:p>
              </w:tc>
              <w:tc>
                <w:tcPr>
                  <w:tcW w:w="726" w:type="pct"/>
                  <w:tcBorders>
                    <w:tl2br w:val="nil"/>
                    <w:tr2bl w:val="nil"/>
                  </w:tcBorders>
                  <w:vAlign w:val="center"/>
                </w:tcPr>
                <w:p w14:paraId="25E00BA9">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rPr>
                    <w:t>YQ-1</w:t>
                  </w:r>
                  <w:r>
                    <w:rPr>
                      <w:rFonts w:hint="default" w:ascii="Times New Roman" w:hAnsi="Times New Roman" w:eastAsia="宋体" w:cs="Times New Roman"/>
                      <w:sz w:val="21"/>
                      <w:szCs w:val="21"/>
                      <w:highlight w:val="none"/>
                      <w:lang w:val="en-US" w:eastAsia="zh-CN"/>
                    </w:rPr>
                    <w:t>0110</w:t>
                  </w:r>
                </w:p>
              </w:tc>
            </w:tr>
          </w:tbl>
          <w:p w14:paraId="30CFBC4E">
            <w:pPr>
              <w:adjustRightInd w:val="0"/>
              <w:snapToGrid w:val="0"/>
              <w:spacing w:line="360" w:lineRule="auto"/>
              <w:ind w:firstLine="482" w:firstLineChars="200"/>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三、人员资质</w:t>
            </w:r>
          </w:p>
          <w:p w14:paraId="1AAB0F1B">
            <w:pPr>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本项目验收监测工作，已针对监测专业技术人员，制定并实施了严格的管理制度和质量控制措施，并已经制定出项目人员培训计划，并按照具体时间要求严格落实，确保全体人员的技术水平能够满足本项目的相关技术要求，确保服务质量。</w:t>
            </w:r>
          </w:p>
          <w:p w14:paraId="2CA9CA6F">
            <w:pPr>
              <w:adjustRightInd w:val="0"/>
              <w:snapToGrid w:val="0"/>
              <w:spacing w:line="360" w:lineRule="auto"/>
              <w:ind w:firstLine="482" w:firstLineChars="200"/>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四、废水监测分析过程中的质量保证和质量控制</w:t>
            </w:r>
          </w:p>
          <w:p w14:paraId="1D7981A7">
            <w:pPr>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（1）水样的采集、运输、保存实验室分析和数据计算的全过程均按《环境水质监测质量保证手册》（第四版）的要求进行。</w:t>
            </w:r>
          </w:p>
          <w:p w14:paraId="54791CB7">
            <w:pPr>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（2）现场采样按照采样操作规程采集全程序空白样品，并按照10%的比例采集平行样品。</w:t>
            </w:r>
          </w:p>
          <w:p w14:paraId="79C36F51">
            <w:pPr>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（3）实验室分析要求空白测定值符合监测标准要求，平行样相对偏差均在允许范围内。测试中使用质控样，以保证分析结果的准确度，无质控样品的进行加标回收分析。</w:t>
            </w:r>
          </w:p>
          <w:p w14:paraId="418C2914">
            <w:pPr>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（4）监测数据严格执行三级审核制度。采样、分析人员均持证上岗，采样仪器和分析仪器均经过计量部门检定/校准。</w:t>
            </w:r>
          </w:p>
          <w:p w14:paraId="0DB11662">
            <w:pPr>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（5）验收监测现场采样和测试，均在生产相对集中的时段，且环保设施运转正常、稳定情况下进行。</w:t>
            </w:r>
          </w:p>
          <w:p w14:paraId="5C0197BA">
            <w:pPr>
              <w:adjustRightInd w:val="0"/>
              <w:snapToGrid w:val="0"/>
              <w:spacing w:line="360" w:lineRule="auto"/>
              <w:ind w:firstLine="482" w:firstLineChars="200"/>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五、气体测分析过程中的质量保证和质量控制</w:t>
            </w:r>
          </w:p>
          <w:p w14:paraId="7D19BE2B">
            <w:pPr>
              <w:spacing w:line="360" w:lineRule="auto"/>
              <w:ind w:firstLine="480" w:firstLineChars="200"/>
              <w:rPr>
                <w:rFonts w:hint="default" w:ascii="Times New Roman" w:hAnsi="Times New Roman" w:cs="Times New Roman"/>
                <w:color w:val="000000"/>
                <w:sz w:val="24"/>
                <w:szCs w:val="24"/>
              </w:rPr>
            </w:pPr>
            <w:r>
              <w:rPr>
                <w:rFonts w:hint="default" w:ascii="Times New Roman" w:hAnsi="Times New Roman" w:cs="Times New Roman"/>
                <w:sz w:val="24"/>
                <w:szCs w:val="24"/>
              </w:rPr>
              <w:t>（1）</w:t>
            </w:r>
            <w:r>
              <w:rPr>
                <w:rFonts w:hint="default" w:ascii="Times New Roman" w:hAnsi="Times New Roman" w:cs="Times New Roman"/>
                <w:color w:val="000000"/>
                <w:sz w:val="24"/>
                <w:szCs w:val="24"/>
              </w:rPr>
              <w:t>废气监测实施全过程的质量保证，有组织排放源监测技术要求按照《固定</w:t>
            </w:r>
          </w:p>
          <w:p w14:paraId="14677F03">
            <w:pPr>
              <w:spacing w:line="360" w:lineRule="auto"/>
              <w:rPr>
                <w:rFonts w:hint="default" w:ascii="Times New Roman" w:hAnsi="Times New Roman" w:cs="Times New Roman"/>
                <w:sz w:val="24"/>
                <w:szCs w:val="24"/>
              </w:rPr>
            </w:pPr>
            <w:r>
              <w:rPr>
                <w:rFonts w:hint="default" w:ascii="Times New Roman" w:hAnsi="Times New Roman" w:cs="Times New Roman"/>
                <w:color w:val="000000"/>
                <w:sz w:val="24"/>
                <w:szCs w:val="24"/>
              </w:rPr>
              <w:t>源废气监测技术规范》、《空气和废气监测质量保证手册》进行。采样仪器逐台进行气密性检查、采样前后均进行流量校准。</w:t>
            </w:r>
          </w:p>
          <w:p w14:paraId="5C0E067D">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（2）尽量避免被测排放物中共存污染物对分析的交叉干扰。</w:t>
            </w:r>
          </w:p>
          <w:p w14:paraId="0DD9EB76">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（3）气体采样器在进入现场前应对其流量计、流速计等进行校准。</w:t>
            </w:r>
          </w:p>
          <w:p w14:paraId="0C3F369D">
            <w:pPr>
              <w:spacing w:line="360" w:lineRule="auto"/>
              <w:ind w:firstLine="480" w:firstLineChars="200"/>
              <w:rPr>
                <w:rFonts w:hint="default" w:ascii="Times New Roman" w:hAnsi="Times New Roman" w:cs="Times New Roman"/>
                <w:color w:val="000000"/>
                <w:sz w:val="24"/>
                <w:szCs w:val="24"/>
              </w:rPr>
            </w:pPr>
            <w:r>
              <w:rPr>
                <w:rFonts w:hint="default" w:ascii="Times New Roman" w:hAnsi="Times New Roman" w:cs="Times New Roman"/>
                <w:sz w:val="24"/>
                <w:szCs w:val="24"/>
              </w:rPr>
              <w:t>（4）</w:t>
            </w:r>
            <w:r>
              <w:rPr>
                <w:rFonts w:hint="default" w:ascii="Times New Roman" w:hAnsi="Times New Roman" w:cs="Times New Roman"/>
                <w:color w:val="000000"/>
                <w:sz w:val="24"/>
                <w:szCs w:val="24"/>
              </w:rPr>
              <w:t>监测数据严格执行三级审核制度。采样、分析人员均持证上岗，采样仪器和分析仪器均经过计量部门检定/校准。</w:t>
            </w:r>
          </w:p>
          <w:p w14:paraId="66043D29">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（5）</w:t>
            </w:r>
            <w:r>
              <w:rPr>
                <w:rFonts w:hint="default" w:ascii="Times New Roman" w:hAnsi="Times New Roman" w:cs="Times New Roman"/>
                <w:color w:val="000000"/>
                <w:sz w:val="24"/>
                <w:szCs w:val="24"/>
              </w:rPr>
              <w:t>验收监测现场采样和测试，均在生产相对集中的时段，且环保设施运转正常、稳定情况下进行。</w:t>
            </w:r>
          </w:p>
          <w:p w14:paraId="6298462A">
            <w:pPr>
              <w:adjustRightInd w:val="0"/>
              <w:snapToGrid w:val="0"/>
              <w:spacing w:line="360" w:lineRule="auto"/>
              <w:ind w:firstLine="482" w:firstLineChars="200"/>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六、噪声监测分析过程中的质量保证和质量控制</w:t>
            </w:r>
          </w:p>
          <w:p w14:paraId="7172C155">
            <w:pPr>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（1）噪声检测设备在现场检测前、后均进行校准。</w:t>
            </w:r>
          </w:p>
          <w:p w14:paraId="48BC5C55">
            <w:pPr>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（2）监测数据严格执行三级审核制度。采样、分析人员均持证上岗，采样仪器和分析仪器均经过计量部门检定/校准。</w:t>
            </w:r>
          </w:p>
          <w:p w14:paraId="1DE0A4D8">
            <w:pPr>
              <w:spacing w:line="360" w:lineRule="auto"/>
              <w:ind w:firstLine="480" w:firstLineChars="200"/>
              <w:rPr>
                <w:rFonts w:hint="default" w:ascii="Times New Roman" w:hAnsi="Times New Roman" w:eastAsia="宋体" w:cs="Times New Roman"/>
                <w:color w:val="000000"/>
                <w:sz w:val="24"/>
                <w:szCs w:val="24"/>
              </w:rPr>
            </w:pPr>
            <w:r>
              <w:rPr>
                <w:rFonts w:hint="default" w:ascii="Times New Roman" w:hAnsi="Times New Roman" w:eastAsia="宋体" w:cs="Times New Roman"/>
                <w:sz w:val="24"/>
                <w:szCs w:val="24"/>
              </w:rPr>
              <w:t>（3）</w:t>
            </w:r>
            <w:r>
              <w:rPr>
                <w:rFonts w:hint="default" w:ascii="Times New Roman" w:hAnsi="Times New Roman" w:eastAsia="宋体" w:cs="Times New Roman"/>
                <w:color w:val="000000"/>
                <w:sz w:val="24"/>
                <w:szCs w:val="24"/>
              </w:rPr>
              <w:t>验收监测现场采样和测试，均在生产相对集中的时段，且环保设施运转正常、稳定情况下进行。</w:t>
            </w:r>
          </w:p>
          <w:p w14:paraId="2C5D4D57">
            <w:pPr>
              <w:spacing w:line="360" w:lineRule="auto"/>
              <w:ind w:firstLine="480" w:firstLineChars="200"/>
              <w:rPr>
                <w:rFonts w:hint="default" w:ascii="Times New Roman" w:hAnsi="Times New Roman" w:eastAsia="宋体" w:cs="Times New Roman"/>
                <w:color w:val="000000"/>
                <w:sz w:val="24"/>
                <w:szCs w:val="24"/>
              </w:rPr>
            </w:pPr>
          </w:p>
          <w:p w14:paraId="162D6D0E">
            <w:pPr>
              <w:spacing w:line="360" w:lineRule="auto"/>
              <w:ind w:firstLine="480" w:firstLineChars="200"/>
              <w:rPr>
                <w:rFonts w:hint="default" w:ascii="Times New Roman" w:hAnsi="Times New Roman" w:eastAsia="宋体" w:cs="Times New Roman"/>
                <w:color w:val="000000"/>
                <w:sz w:val="24"/>
                <w:szCs w:val="24"/>
              </w:rPr>
            </w:pPr>
          </w:p>
          <w:p w14:paraId="4B9B8717">
            <w:pPr>
              <w:spacing w:line="360" w:lineRule="auto"/>
              <w:ind w:firstLine="480" w:firstLineChars="200"/>
              <w:rPr>
                <w:rFonts w:hint="default" w:ascii="Times New Roman" w:hAnsi="Times New Roman" w:eastAsia="宋体" w:cs="Times New Roman"/>
                <w:color w:val="000000"/>
                <w:sz w:val="24"/>
                <w:szCs w:val="24"/>
              </w:rPr>
            </w:pPr>
          </w:p>
          <w:p w14:paraId="4BE8AFD1">
            <w:pPr>
              <w:spacing w:line="360" w:lineRule="auto"/>
              <w:ind w:firstLine="480" w:firstLineChars="200"/>
              <w:rPr>
                <w:rFonts w:hint="default" w:ascii="Times New Roman" w:hAnsi="Times New Roman" w:eastAsia="宋体" w:cs="Times New Roman"/>
                <w:color w:val="000000"/>
                <w:sz w:val="24"/>
                <w:szCs w:val="24"/>
              </w:rPr>
            </w:pPr>
          </w:p>
          <w:p w14:paraId="445CB819">
            <w:pPr>
              <w:spacing w:line="360" w:lineRule="auto"/>
              <w:ind w:firstLine="480" w:firstLineChars="200"/>
              <w:rPr>
                <w:rFonts w:hint="default" w:ascii="Times New Roman" w:hAnsi="Times New Roman" w:eastAsia="宋体" w:cs="Times New Roman"/>
                <w:color w:val="000000"/>
                <w:sz w:val="24"/>
                <w:szCs w:val="24"/>
              </w:rPr>
            </w:pPr>
          </w:p>
          <w:p w14:paraId="60897B21">
            <w:pPr>
              <w:spacing w:line="360" w:lineRule="auto"/>
              <w:ind w:firstLine="480" w:firstLineChars="200"/>
              <w:rPr>
                <w:rFonts w:hint="default" w:ascii="Times New Roman" w:hAnsi="Times New Roman" w:eastAsia="宋体" w:cs="Times New Roman"/>
                <w:color w:val="000000"/>
                <w:sz w:val="24"/>
                <w:szCs w:val="24"/>
              </w:rPr>
            </w:pPr>
          </w:p>
          <w:p w14:paraId="6418E75E">
            <w:pPr>
              <w:spacing w:line="360" w:lineRule="auto"/>
              <w:ind w:firstLine="480" w:firstLineChars="200"/>
              <w:rPr>
                <w:rFonts w:hint="default" w:ascii="Times New Roman" w:hAnsi="Times New Roman" w:eastAsia="宋体" w:cs="Times New Roman"/>
                <w:color w:val="000000"/>
                <w:sz w:val="24"/>
                <w:szCs w:val="24"/>
              </w:rPr>
            </w:pPr>
          </w:p>
          <w:p w14:paraId="3A68553F">
            <w:pPr>
              <w:spacing w:line="360" w:lineRule="auto"/>
              <w:ind w:firstLine="480" w:firstLineChars="200"/>
              <w:rPr>
                <w:rFonts w:hint="default" w:ascii="Times New Roman" w:hAnsi="Times New Roman" w:eastAsia="宋体" w:cs="Times New Roman"/>
                <w:color w:val="000000"/>
                <w:sz w:val="24"/>
                <w:szCs w:val="24"/>
              </w:rPr>
            </w:pPr>
          </w:p>
          <w:p w14:paraId="76C6C1B6">
            <w:pPr>
              <w:spacing w:line="360" w:lineRule="auto"/>
              <w:ind w:firstLine="480" w:firstLineChars="200"/>
              <w:rPr>
                <w:rFonts w:hint="default" w:ascii="Times New Roman" w:hAnsi="Times New Roman" w:eastAsia="宋体" w:cs="Times New Roman"/>
                <w:color w:val="000000"/>
                <w:sz w:val="24"/>
                <w:szCs w:val="24"/>
              </w:rPr>
            </w:pPr>
          </w:p>
          <w:p w14:paraId="63CDB377">
            <w:pPr>
              <w:spacing w:line="360" w:lineRule="auto"/>
              <w:ind w:firstLine="480" w:firstLineChars="200"/>
              <w:rPr>
                <w:rFonts w:hint="default" w:ascii="Times New Roman" w:hAnsi="Times New Roman" w:eastAsia="宋体" w:cs="Times New Roman"/>
                <w:color w:val="000000"/>
                <w:sz w:val="24"/>
                <w:szCs w:val="24"/>
              </w:rPr>
            </w:pPr>
          </w:p>
          <w:p w14:paraId="50CCE9F8">
            <w:pPr>
              <w:spacing w:line="360" w:lineRule="auto"/>
              <w:ind w:firstLine="480" w:firstLineChars="200"/>
              <w:rPr>
                <w:rFonts w:hint="default" w:ascii="Times New Roman" w:hAnsi="Times New Roman" w:eastAsia="宋体" w:cs="Times New Roman"/>
                <w:color w:val="000000"/>
                <w:sz w:val="24"/>
                <w:szCs w:val="24"/>
              </w:rPr>
            </w:pPr>
          </w:p>
          <w:p w14:paraId="11B2CBC4">
            <w:pPr>
              <w:spacing w:line="360" w:lineRule="auto"/>
              <w:ind w:firstLine="480" w:firstLineChars="200"/>
              <w:rPr>
                <w:rFonts w:hint="default" w:ascii="Times New Roman" w:hAnsi="Times New Roman" w:eastAsia="宋体" w:cs="Times New Roman"/>
                <w:color w:val="000000"/>
                <w:sz w:val="24"/>
                <w:szCs w:val="24"/>
              </w:rPr>
            </w:pPr>
          </w:p>
          <w:p w14:paraId="1CDFEF72">
            <w:pPr>
              <w:spacing w:line="360" w:lineRule="auto"/>
              <w:ind w:firstLine="480" w:firstLineChars="200"/>
              <w:rPr>
                <w:rFonts w:hint="default" w:ascii="Times New Roman" w:hAnsi="Times New Roman" w:eastAsia="宋体" w:cs="Times New Roman"/>
                <w:color w:val="000000"/>
                <w:sz w:val="24"/>
                <w:szCs w:val="24"/>
              </w:rPr>
            </w:pPr>
          </w:p>
          <w:p w14:paraId="458050C0">
            <w:pPr>
              <w:spacing w:line="360" w:lineRule="auto"/>
              <w:ind w:firstLine="480" w:firstLineChars="200"/>
              <w:rPr>
                <w:rFonts w:hint="default" w:ascii="Times New Roman" w:hAnsi="Times New Roman" w:eastAsia="宋体" w:cs="Times New Roman"/>
                <w:color w:val="000000"/>
                <w:sz w:val="24"/>
                <w:szCs w:val="24"/>
              </w:rPr>
            </w:pPr>
          </w:p>
          <w:p w14:paraId="41333BAA">
            <w:pPr>
              <w:spacing w:line="360" w:lineRule="auto"/>
              <w:ind w:firstLine="480" w:firstLineChars="200"/>
              <w:rPr>
                <w:rFonts w:hint="default" w:ascii="Times New Roman" w:hAnsi="Times New Roman" w:eastAsia="宋体" w:cs="Times New Roman"/>
                <w:color w:val="000000"/>
                <w:sz w:val="24"/>
                <w:szCs w:val="24"/>
              </w:rPr>
            </w:pPr>
          </w:p>
          <w:p w14:paraId="5B186209">
            <w:pPr>
              <w:spacing w:line="360" w:lineRule="auto"/>
              <w:ind w:firstLine="480" w:firstLineChars="200"/>
              <w:rPr>
                <w:rFonts w:hint="default" w:ascii="Times New Roman" w:hAnsi="Times New Roman" w:eastAsia="宋体" w:cs="Times New Roman"/>
                <w:color w:val="000000"/>
                <w:sz w:val="24"/>
                <w:szCs w:val="24"/>
              </w:rPr>
            </w:pPr>
          </w:p>
          <w:p w14:paraId="1D176C42">
            <w:pPr>
              <w:spacing w:line="360" w:lineRule="auto"/>
              <w:ind w:firstLine="480" w:firstLineChars="200"/>
              <w:rPr>
                <w:rFonts w:hint="default" w:ascii="Times New Roman" w:hAnsi="Times New Roman" w:eastAsia="宋体" w:cs="Times New Roman"/>
                <w:color w:val="000000"/>
                <w:sz w:val="24"/>
                <w:szCs w:val="24"/>
              </w:rPr>
            </w:pPr>
          </w:p>
          <w:p w14:paraId="3D1FA0A5">
            <w:pPr>
              <w:spacing w:line="360" w:lineRule="auto"/>
              <w:ind w:firstLine="480" w:firstLineChars="200"/>
              <w:rPr>
                <w:rFonts w:hint="default" w:ascii="Times New Roman" w:hAnsi="Times New Roman" w:eastAsia="宋体" w:cs="Times New Roman"/>
                <w:color w:val="000000"/>
                <w:sz w:val="24"/>
                <w:szCs w:val="24"/>
              </w:rPr>
            </w:pPr>
          </w:p>
          <w:p w14:paraId="6D05DC93">
            <w:pPr>
              <w:spacing w:line="360" w:lineRule="auto"/>
              <w:ind w:firstLine="480" w:firstLineChars="200"/>
              <w:rPr>
                <w:rFonts w:hint="default" w:ascii="Times New Roman" w:hAnsi="Times New Roman" w:eastAsia="宋体" w:cs="Times New Roman"/>
                <w:color w:val="000000"/>
                <w:sz w:val="24"/>
                <w:szCs w:val="24"/>
              </w:rPr>
            </w:pPr>
          </w:p>
          <w:p w14:paraId="472BCD5C">
            <w:pPr>
              <w:spacing w:line="360" w:lineRule="auto"/>
              <w:ind w:firstLine="480" w:firstLineChars="200"/>
              <w:rPr>
                <w:rFonts w:hint="default" w:ascii="Times New Roman" w:hAnsi="Times New Roman" w:eastAsia="宋体" w:cs="Times New Roman"/>
                <w:color w:val="000000"/>
                <w:sz w:val="24"/>
                <w:szCs w:val="24"/>
              </w:rPr>
            </w:pPr>
          </w:p>
          <w:p w14:paraId="1F6C84BB">
            <w:pPr>
              <w:spacing w:line="360" w:lineRule="auto"/>
              <w:ind w:firstLine="480" w:firstLineChars="200"/>
              <w:rPr>
                <w:rFonts w:hint="default" w:ascii="Times New Roman" w:hAnsi="Times New Roman" w:eastAsia="宋体" w:cs="Times New Roman"/>
                <w:color w:val="000000"/>
                <w:sz w:val="24"/>
                <w:szCs w:val="24"/>
              </w:rPr>
            </w:pPr>
          </w:p>
          <w:p w14:paraId="469945D0">
            <w:pPr>
              <w:pStyle w:val="11"/>
              <w:rPr>
                <w:rFonts w:hint="default"/>
              </w:rPr>
            </w:pPr>
          </w:p>
        </w:tc>
      </w:tr>
    </w:tbl>
    <w:p w14:paraId="27FD98DF">
      <w:pPr>
        <w:pStyle w:val="2"/>
        <w:rPr>
          <w:rFonts w:hint="default" w:ascii="Times New Roman" w:hAnsi="Times New Roman" w:eastAsia="宋体" w:cs="Times New Roman"/>
          <w:b/>
          <w:bCs w:val="0"/>
          <w:sz w:val="28"/>
          <w:szCs w:val="28"/>
        </w:rPr>
      </w:pPr>
      <w:bookmarkStart w:id="17" w:name="_Toc515281400"/>
      <w:r>
        <w:rPr>
          <w:rFonts w:hint="default" w:ascii="Times New Roman" w:hAnsi="Times New Roman" w:eastAsia="宋体" w:cs="Times New Roman"/>
          <w:b/>
          <w:bCs w:val="0"/>
          <w:sz w:val="28"/>
          <w:szCs w:val="28"/>
        </w:rPr>
        <w:t>表六</w:t>
      </w:r>
    </w:p>
    <w:tbl>
      <w:tblPr>
        <w:tblStyle w:val="29"/>
        <w:tblW w:w="5000" w:type="pct"/>
        <w:jc w:val="center"/>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fixed"/>
        <w:tblCellMar>
          <w:top w:w="0" w:type="dxa"/>
          <w:left w:w="108" w:type="dxa"/>
          <w:bottom w:w="0" w:type="dxa"/>
          <w:right w:w="108" w:type="dxa"/>
        </w:tblCellMar>
      </w:tblPr>
      <w:tblGrid>
        <w:gridCol w:w="9287"/>
      </w:tblGrid>
      <w:tr w14:paraId="38EAA341">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841" w:hRule="atLeast"/>
          <w:jc w:val="center"/>
        </w:trPr>
        <w:tc>
          <w:tcPr>
            <w:tcW w:w="9287" w:type="dxa"/>
            <w:vAlign w:val="center"/>
          </w:tcPr>
          <w:p w14:paraId="2E54DBD0">
            <w:pPr>
              <w:adjustRightInd w:val="0"/>
              <w:snapToGrid w:val="0"/>
              <w:spacing w:before="120" w:beforeLines="50" w:line="360" w:lineRule="auto"/>
              <w:rPr>
                <w:rFonts w:hint="default" w:ascii="Times New Roman" w:hAnsi="Times New Roman" w:eastAsia="宋体" w:cs="Times New Roman"/>
                <w:b/>
                <w:sz w:val="28"/>
                <w:szCs w:val="28"/>
                <w:highlight w:val="none"/>
              </w:rPr>
            </w:pPr>
            <w:r>
              <w:rPr>
                <w:rFonts w:hint="default" w:ascii="Times New Roman" w:hAnsi="Times New Roman" w:eastAsia="宋体" w:cs="Times New Roman"/>
                <w:b/>
                <w:sz w:val="28"/>
                <w:szCs w:val="28"/>
                <w:highlight w:val="none"/>
              </w:rPr>
              <w:t>验收监测内容：</w:t>
            </w:r>
          </w:p>
          <w:p w14:paraId="2C489F7A">
            <w:pPr>
              <w:spacing w:line="360" w:lineRule="auto"/>
              <w:ind w:firstLine="482" w:firstLineChars="200"/>
              <w:jc w:val="left"/>
              <w:rPr>
                <w:rFonts w:hint="default" w:ascii="Times New Roman" w:hAnsi="Times New Roman" w:cs="Times New Roman"/>
                <w:b/>
                <w:bCs/>
                <w:sz w:val="24"/>
                <w:szCs w:val="24"/>
                <w:highlight w:val="none"/>
              </w:rPr>
            </w:pPr>
            <w:r>
              <w:rPr>
                <w:rFonts w:hint="eastAsia" w:ascii="Times New Roman" w:hAnsi="Times New Roman" w:cs="Times New Roman"/>
                <w:b/>
                <w:bCs/>
                <w:sz w:val="24"/>
                <w:szCs w:val="24"/>
                <w:highlight w:val="none"/>
                <w:lang w:val="en-US" w:eastAsia="zh-CN"/>
              </w:rPr>
              <w:t>一</w:t>
            </w:r>
            <w:r>
              <w:rPr>
                <w:rFonts w:hint="default" w:ascii="Times New Roman" w:hAnsi="Times New Roman" w:cs="Times New Roman"/>
                <w:b/>
                <w:bCs/>
                <w:sz w:val="24"/>
                <w:szCs w:val="24"/>
                <w:highlight w:val="none"/>
              </w:rPr>
              <w:t>、废气验收监测项目、点位与频次</w:t>
            </w:r>
          </w:p>
          <w:p w14:paraId="58F198FE">
            <w:pPr>
              <w:spacing w:line="360" w:lineRule="auto"/>
              <w:ind w:firstLine="480" w:firstLineChars="200"/>
              <w:rPr>
                <w:rFonts w:hint="default" w:ascii="Times New Roman" w:hAnsi="Times New Roman" w:cs="Times New Roman"/>
                <w:sz w:val="24"/>
                <w:szCs w:val="24"/>
                <w:highlight w:val="none"/>
                <w:lang w:eastAsia="zh-CN"/>
              </w:rPr>
            </w:pPr>
            <w:r>
              <w:rPr>
                <w:rFonts w:hint="default" w:ascii="Times New Roman" w:hAnsi="Times New Roman" w:cs="Times New Roman"/>
                <w:sz w:val="24"/>
                <w:szCs w:val="24"/>
                <w:highlight w:val="none"/>
              </w:rPr>
              <w:t>本项目废气监测因子及频次见表6-</w:t>
            </w:r>
            <w:r>
              <w:rPr>
                <w:rFonts w:hint="eastAsia" w:ascii="Times New Roman" w:hAnsi="Times New Roman" w:cs="Times New Roman"/>
                <w:sz w:val="24"/>
                <w:szCs w:val="24"/>
                <w:highlight w:val="none"/>
                <w:lang w:val="en-US" w:eastAsia="zh-CN"/>
              </w:rPr>
              <w:t>1</w:t>
            </w:r>
            <w:r>
              <w:rPr>
                <w:rFonts w:hint="default" w:ascii="Times New Roman" w:hAnsi="Times New Roman" w:cs="Times New Roman"/>
                <w:sz w:val="24"/>
                <w:szCs w:val="24"/>
                <w:highlight w:val="none"/>
                <w:lang w:eastAsia="zh-CN"/>
              </w:rPr>
              <w:t>，</w:t>
            </w:r>
          </w:p>
          <w:p w14:paraId="27290CD4">
            <w:pPr>
              <w:pStyle w:val="51"/>
              <w:spacing w:line="360" w:lineRule="auto"/>
              <w:jc w:val="center"/>
              <w:rPr>
                <w:rFonts w:hint="default" w:ascii="Times New Roman" w:hAnsi="Times New Roman" w:cs="Times New Roman" w:eastAsiaTheme="minorEastAsia"/>
                <w:b/>
                <w:bCs/>
                <w:highlight w:val="none"/>
              </w:rPr>
            </w:pPr>
            <w:r>
              <w:rPr>
                <w:rFonts w:hint="default" w:ascii="Times New Roman" w:hAnsi="Times New Roman" w:cs="Times New Roman" w:eastAsiaTheme="minorEastAsia"/>
                <w:b/>
                <w:bCs/>
                <w:highlight w:val="none"/>
              </w:rPr>
              <w:t>表6-</w:t>
            </w:r>
            <w:r>
              <w:rPr>
                <w:rFonts w:hint="eastAsia" w:cs="Times New Roman" w:eastAsiaTheme="minorEastAsia"/>
                <w:b/>
                <w:bCs/>
                <w:highlight w:val="none"/>
                <w:lang w:val="en-US" w:eastAsia="zh-CN"/>
              </w:rPr>
              <w:t>1</w:t>
            </w:r>
            <w:r>
              <w:rPr>
                <w:rFonts w:hint="default" w:ascii="Times New Roman" w:hAnsi="Times New Roman" w:cs="Times New Roman" w:eastAsiaTheme="minorEastAsia"/>
                <w:b/>
                <w:bCs/>
                <w:highlight w:val="none"/>
              </w:rPr>
              <w:t xml:space="preserve"> 废气监测项目、点位及频次</w:t>
            </w:r>
          </w:p>
          <w:tbl>
            <w:tblPr>
              <w:tblStyle w:val="29"/>
              <w:tblW w:w="9239"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807"/>
              <w:gridCol w:w="1902"/>
              <w:gridCol w:w="3170"/>
              <w:gridCol w:w="2360"/>
            </w:tblGrid>
            <w:tr w14:paraId="504EB7A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977" w:type="pct"/>
                  <w:vAlign w:val="center"/>
                </w:tcPr>
                <w:p w14:paraId="5D9E4182">
                  <w:pPr>
                    <w:jc w:val="center"/>
                    <w:rPr>
                      <w:rFonts w:hint="default" w:ascii="Times New Roman" w:hAnsi="Times New Roman" w:cs="Times New Roman"/>
                      <w:b/>
                      <w:szCs w:val="21"/>
                      <w:highlight w:val="none"/>
                    </w:rPr>
                  </w:pPr>
                  <w:r>
                    <w:rPr>
                      <w:rFonts w:hint="default" w:ascii="Times New Roman" w:hAnsi="Times New Roman" w:cs="Times New Roman"/>
                      <w:b/>
                      <w:szCs w:val="21"/>
                      <w:highlight w:val="none"/>
                    </w:rPr>
                    <w:t>污染源</w:t>
                  </w:r>
                </w:p>
              </w:tc>
              <w:tc>
                <w:tcPr>
                  <w:tcW w:w="1029" w:type="pct"/>
                  <w:vAlign w:val="center"/>
                </w:tcPr>
                <w:p w14:paraId="3EFF2203">
                  <w:pPr>
                    <w:jc w:val="center"/>
                    <w:rPr>
                      <w:rFonts w:hint="default" w:ascii="Times New Roman" w:hAnsi="Times New Roman" w:cs="Times New Roman"/>
                      <w:b/>
                      <w:szCs w:val="21"/>
                      <w:highlight w:val="none"/>
                    </w:rPr>
                  </w:pPr>
                  <w:r>
                    <w:rPr>
                      <w:rFonts w:hint="default" w:ascii="Times New Roman" w:hAnsi="Times New Roman" w:cs="Times New Roman"/>
                      <w:b/>
                      <w:szCs w:val="21"/>
                      <w:highlight w:val="none"/>
                    </w:rPr>
                    <w:t>监测点位</w:t>
                  </w:r>
                </w:p>
              </w:tc>
              <w:tc>
                <w:tcPr>
                  <w:tcW w:w="1715" w:type="pct"/>
                  <w:vAlign w:val="center"/>
                </w:tcPr>
                <w:p w14:paraId="05B44C04">
                  <w:pPr>
                    <w:jc w:val="center"/>
                    <w:rPr>
                      <w:rFonts w:hint="default" w:ascii="Times New Roman" w:hAnsi="Times New Roman" w:cs="Times New Roman"/>
                      <w:b/>
                      <w:szCs w:val="21"/>
                      <w:highlight w:val="none"/>
                    </w:rPr>
                  </w:pPr>
                  <w:r>
                    <w:rPr>
                      <w:rFonts w:hint="default" w:ascii="Times New Roman" w:hAnsi="Times New Roman" w:cs="Times New Roman"/>
                      <w:b/>
                      <w:szCs w:val="21"/>
                      <w:highlight w:val="none"/>
                    </w:rPr>
                    <w:t>监测项目</w:t>
                  </w:r>
                </w:p>
              </w:tc>
              <w:tc>
                <w:tcPr>
                  <w:tcW w:w="1277" w:type="pct"/>
                  <w:vAlign w:val="center"/>
                </w:tcPr>
                <w:p w14:paraId="22AC665D">
                  <w:pPr>
                    <w:jc w:val="center"/>
                    <w:rPr>
                      <w:rFonts w:hint="default" w:ascii="Times New Roman" w:hAnsi="Times New Roman" w:cs="Times New Roman"/>
                      <w:b/>
                      <w:szCs w:val="21"/>
                      <w:highlight w:val="none"/>
                    </w:rPr>
                  </w:pPr>
                  <w:r>
                    <w:rPr>
                      <w:rFonts w:hint="default" w:ascii="Times New Roman" w:hAnsi="Times New Roman" w:cs="Times New Roman"/>
                      <w:b/>
                      <w:szCs w:val="21"/>
                      <w:highlight w:val="none"/>
                    </w:rPr>
                    <w:t>监测频次</w:t>
                  </w:r>
                </w:p>
              </w:tc>
            </w:tr>
            <w:tr w14:paraId="2C63D7F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977" w:type="pct"/>
                  <w:vAlign w:val="center"/>
                </w:tcPr>
                <w:p w14:paraId="2707AF3A">
                  <w:pPr>
                    <w:jc w:val="center"/>
                    <w:rPr>
                      <w:rFonts w:hint="default" w:ascii="Times New Roman" w:hAnsi="Times New Roman" w:cs="Times New Roman" w:eastAsiaTheme="minorEastAsia"/>
                      <w:bCs/>
                      <w:szCs w:val="21"/>
                      <w:highlight w:val="none"/>
                      <w:lang w:val="en-US" w:eastAsia="zh-CN"/>
                    </w:rPr>
                  </w:pPr>
                  <w:r>
                    <w:rPr>
                      <w:rFonts w:hint="eastAsia" w:ascii="Times New Roman" w:hAnsi="Times New Roman" w:cs="Times New Roman"/>
                      <w:bCs/>
                      <w:szCs w:val="21"/>
                      <w:highlight w:val="none"/>
                      <w:lang w:val="en-US" w:eastAsia="zh-CN"/>
                    </w:rPr>
                    <w:t>实验废气</w:t>
                  </w:r>
                </w:p>
              </w:tc>
              <w:tc>
                <w:tcPr>
                  <w:tcW w:w="1029" w:type="pct"/>
                  <w:vAlign w:val="center"/>
                </w:tcPr>
                <w:p w14:paraId="73DF0089">
                  <w:pPr>
                    <w:jc w:val="center"/>
                    <w:rPr>
                      <w:rFonts w:hint="default" w:ascii="Times New Roman" w:hAnsi="Times New Roman" w:cs="Times New Roman" w:eastAsiaTheme="minorEastAsia"/>
                      <w:bCs/>
                      <w:szCs w:val="21"/>
                      <w:highlight w:val="none"/>
                      <w:lang w:val="en-US" w:eastAsia="zh-CN"/>
                    </w:rPr>
                  </w:pPr>
                  <w:r>
                    <w:rPr>
                      <w:rFonts w:hint="eastAsia" w:ascii="Times New Roman" w:hAnsi="Times New Roman" w:cs="Times New Roman"/>
                      <w:bCs/>
                      <w:szCs w:val="21"/>
                      <w:highlight w:val="none"/>
                      <w:lang w:val="en-US" w:eastAsia="zh-CN"/>
                    </w:rPr>
                    <w:t>DA001</w:t>
                  </w:r>
                </w:p>
              </w:tc>
              <w:tc>
                <w:tcPr>
                  <w:tcW w:w="1715" w:type="pct"/>
                  <w:vAlign w:val="center"/>
                </w:tcPr>
                <w:p w14:paraId="26727EA9">
                  <w:pPr>
                    <w:jc w:val="center"/>
                    <w:rPr>
                      <w:rFonts w:hint="default" w:ascii="Times New Roman" w:hAnsi="Times New Roman" w:cs="Times New Roman" w:eastAsiaTheme="minorEastAsia"/>
                      <w:b/>
                      <w:szCs w:val="21"/>
                      <w:highlight w:val="none"/>
                      <w:lang w:val="en-US" w:eastAsia="zh-CN"/>
                    </w:rPr>
                  </w:pPr>
                  <w:r>
                    <w:rPr>
                      <w:rFonts w:hint="eastAsia" w:ascii="Times New Roman" w:hAnsi="Times New Roman" w:cs="Times New Roman"/>
                      <w:bCs/>
                      <w:kern w:val="0"/>
                      <w:highlight w:val="none"/>
                      <w:lang w:val="en-US" w:eastAsia="zh-CN"/>
                    </w:rPr>
                    <w:t>氯化氢、非甲烷总烃、甲醇</w:t>
                  </w:r>
                </w:p>
              </w:tc>
              <w:tc>
                <w:tcPr>
                  <w:tcW w:w="1277" w:type="pct"/>
                  <w:vAlign w:val="center"/>
                </w:tcPr>
                <w:p w14:paraId="360C69CD">
                  <w:pPr>
                    <w:jc w:val="center"/>
                    <w:rPr>
                      <w:rFonts w:hint="default" w:ascii="Times New Roman" w:hAnsi="Times New Roman" w:cs="Times New Roman"/>
                      <w:b/>
                      <w:szCs w:val="21"/>
                      <w:highlight w:val="none"/>
                    </w:rPr>
                  </w:pPr>
                  <w:r>
                    <w:rPr>
                      <w:rFonts w:hint="default" w:ascii="Times New Roman" w:hAnsi="Times New Roman" w:cs="Times New Roman"/>
                      <w:szCs w:val="21"/>
                      <w:highlight w:val="none"/>
                    </w:rPr>
                    <w:t>3次/d，连续监测2天</w:t>
                  </w:r>
                </w:p>
              </w:tc>
            </w:tr>
            <w:tr w14:paraId="359BC38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977" w:type="pct"/>
                  <w:vAlign w:val="center"/>
                </w:tcPr>
                <w:p w14:paraId="3445677D">
                  <w:pPr>
                    <w:jc w:val="center"/>
                    <w:rPr>
                      <w:rFonts w:hint="default" w:ascii="Times New Roman" w:hAnsi="Times New Roman" w:cs="Times New Roman" w:eastAsiaTheme="minorEastAsia"/>
                      <w:bCs/>
                      <w:szCs w:val="21"/>
                      <w:highlight w:val="none"/>
                      <w:lang w:val="en-US" w:eastAsia="zh-CN"/>
                    </w:rPr>
                  </w:pPr>
                  <w:r>
                    <w:rPr>
                      <w:rFonts w:hint="default" w:ascii="Times New Roman" w:hAnsi="Times New Roman" w:cs="Times New Roman"/>
                      <w:bCs/>
                      <w:szCs w:val="21"/>
                      <w:highlight w:val="none"/>
                      <w:lang w:val="en-US" w:eastAsia="zh-CN"/>
                    </w:rPr>
                    <w:t>无组织废气</w:t>
                  </w:r>
                </w:p>
              </w:tc>
              <w:tc>
                <w:tcPr>
                  <w:tcW w:w="1029" w:type="pct"/>
                  <w:vAlign w:val="center"/>
                </w:tcPr>
                <w:p w14:paraId="5173B855">
                  <w:pPr>
                    <w:jc w:val="center"/>
                    <w:rPr>
                      <w:rFonts w:hint="default" w:ascii="Times New Roman" w:hAnsi="Times New Roman" w:eastAsia="宋体" w:cs="Times New Roman"/>
                      <w:bCs/>
                      <w:kern w:val="0"/>
                      <w:szCs w:val="21"/>
                      <w:highlight w:val="none"/>
                    </w:rPr>
                  </w:pPr>
                  <w:r>
                    <w:rPr>
                      <w:rFonts w:hint="default" w:ascii="Times New Roman" w:hAnsi="Times New Roman" w:eastAsia="宋体" w:cs="Times New Roman"/>
                      <w:bCs/>
                      <w:kern w:val="0"/>
                      <w:szCs w:val="21"/>
                      <w:highlight w:val="none"/>
                    </w:rPr>
                    <w:t>厂界上下风向</w:t>
                  </w:r>
                </w:p>
              </w:tc>
              <w:tc>
                <w:tcPr>
                  <w:tcW w:w="1715" w:type="pct"/>
                  <w:vAlign w:val="center"/>
                </w:tcPr>
                <w:p w14:paraId="64E30D39">
                  <w:pPr>
                    <w:jc w:val="center"/>
                    <w:rPr>
                      <w:rFonts w:hint="eastAsia" w:ascii="Times New Roman" w:hAnsi="Times New Roman" w:cs="Times New Roman" w:eastAsiaTheme="minorEastAsia"/>
                      <w:bCs/>
                      <w:kern w:val="0"/>
                      <w:highlight w:val="none"/>
                      <w:lang w:val="en-US" w:eastAsia="zh-CN"/>
                    </w:rPr>
                  </w:pPr>
                  <w:r>
                    <w:rPr>
                      <w:rFonts w:hint="eastAsia" w:ascii="Times New Roman" w:hAnsi="Times New Roman" w:cs="Times New Roman"/>
                      <w:bCs/>
                      <w:kern w:val="0"/>
                      <w:highlight w:val="none"/>
                      <w:lang w:val="en-US" w:eastAsia="zh-CN"/>
                    </w:rPr>
                    <w:t>氯化氢、非甲烷总烃、甲醇</w:t>
                  </w:r>
                </w:p>
              </w:tc>
              <w:tc>
                <w:tcPr>
                  <w:tcW w:w="1277" w:type="pct"/>
                  <w:vAlign w:val="center"/>
                </w:tcPr>
                <w:p w14:paraId="39D84938">
                  <w:pPr>
                    <w:jc w:val="center"/>
                    <w:rPr>
                      <w:rFonts w:hint="default" w:ascii="Times New Roman" w:hAnsi="Times New Roman" w:cs="Times New Roman"/>
                      <w:szCs w:val="21"/>
                      <w:highlight w:val="none"/>
                    </w:rPr>
                  </w:pPr>
                  <w:r>
                    <w:rPr>
                      <w:rFonts w:hint="default" w:ascii="Times New Roman" w:hAnsi="Times New Roman" w:cs="Times New Roman"/>
                      <w:szCs w:val="21"/>
                      <w:highlight w:val="none"/>
                    </w:rPr>
                    <w:t>3次/d，连续监测2天</w:t>
                  </w:r>
                </w:p>
              </w:tc>
            </w:tr>
          </w:tbl>
          <w:p w14:paraId="472A073E">
            <w:pPr>
              <w:adjustRightInd w:val="0"/>
              <w:snapToGrid w:val="0"/>
              <w:spacing w:line="360" w:lineRule="auto"/>
              <w:ind w:firstLine="482" w:firstLineChars="200"/>
              <w:rPr>
                <w:rFonts w:hint="default" w:ascii="Times New Roman" w:hAnsi="Times New Roman" w:eastAsia="宋体" w:cs="Times New Roman"/>
                <w:b/>
                <w:sz w:val="24"/>
                <w:szCs w:val="24"/>
                <w:highlight w:val="none"/>
              </w:rPr>
            </w:pPr>
          </w:p>
          <w:p w14:paraId="3AAA0443">
            <w:pPr>
              <w:adjustRightInd w:val="0"/>
              <w:snapToGrid w:val="0"/>
              <w:spacing w:line="360" w:lineRule="auto"/>
              <w:ind w:firstLine="482" w:firstLineChars="200"/>
              <w:rPr>
                <w:rFonts w:hint="default" w:ascii="Times New Roman" w:hAnsi="Times New Roman" w:eastAsia="宋体" w:cs="Times New Roman"/>
                <w:b/>
                <w:sz w:val="24"/>
                <w:szCs w:val="24"/>
                <w:highlight w:val="none"/>
              </w:rPr>
            </w:pPr>
            <w:r>
              <w:rPr>
                <w:rFonts w:hint="eastAsia" w:ascii="Times New Roman" w:hAnsi="Times New Roman" w:eastAsia="宋体" w:cs="Times New Roman"/>
                <w:b/>
                <w:sz w:val="24"/>
                <w:szCs w:val="24"/>
                <w:highlight w:val="none"/>
                <w:lang w:val="en-US" w:eastAsia="zh-CN"/>
              </w:rPr>
              <w:t>二</w:t>
            </w:r>
            <w:r>
              <w:rPr>
                <w:rFonts w:hint="default" w:ascii="Times New Roman" w:hAnsi="Times New Roman" w:eastAsia="宋体" w:cs="Times New Roman"/>
                <w:b/>
                <w:sz w:val="24"/>
                <w:szCs w:val="24"/>
                <w:highlight w:val="none"/>
              </w:rPr>
              <w:t>、废水验收监测项目、点位与频次</w:t>
            </w:r>
          </w:p>
          <w:p w14:paraId="2C00B87E">
            <w:pPr>
              <w:spacing w:line="360" w:lineRule="auto"/>
              <w:ind w:firstLine="480" w:firstLineChars="200"/>
              <w:rPr>
                <w:rFonts w:hint="default" w:ascii="Times New Roman" w:hAnsi="Times New Roman" w:eastAsia="宋体" w:cs="Times New Roman"/>
                <w:sz w:val="24"/>
                <w:szCs w:val="24"/>
                <w:highlight w:val="none"/>
                <w:lang w:eastAsia="zh-CN"/>
              </w:rPr>
            </w:pPr>
            <w:r>
              <w:rPr>
                <w:rFonts w:hint="default" w:ascii="Times New Roman" w:hAnsi="Times New Roman" w:eastAsia="宋体" w:cs="Times New Roman"/>
                <w:sz w:val="24"/>
                <w:szCs w:val="24"/>
                <w:highlight w:val="none"/>
              </w:rPr>
              <w:t>本项目废水监测因子及频次见表6-</w:t>
            </w:r>
            <w:r>
              <w:rPr>
                <w:rFonts w:hint="eastAsia" w:ascii="Times New Roman" w:hAnsi="Times New Roman" w:eastAsia="宋体" w:cs="Times New Roman"/>
                <w:sz w:val="24"/>
                <w:szCs w:val="24"/>
                <w:highlight w:val="none"/>
                <w:lang w:val="en-US" w:eastAsia="zh-CN"/>
              </w:rPr>
              <w:t>2</w:t>
            </w:r>
            <w:r>
              <w:rPr>
                <w:rFonts w:hint="default" w:ascii="Times New Roman" w:hAnsi="Times New Roman" w:eastAsia="宋体" w:cs="Times New Roman"/>
                <w:sz w:val="24"/>
                <w:szCs w:val="24"/>
                <w:highlight w:val="none"/>
                <w:lang w:eastAsia="zh-CN"/>
              </w:rPr>
              <w:t>，</w:t>
            </w:r>
          </w:p>
          <w:p w14:paraId="2175BDCA">
            <w:pPr>
              <w:adjustRightInd w:val="0"/>
              <w:snapToGrid w:val="0"/>
              <w:spacing w:line="360" w:lineRule="auto"/>
              <w:jc w:val="center"/>
              <w:rPr>
                <w:rFonts w:hint="default" w:ascii="Times New Roman" w:hAnsi="Times New Roman" w:eastAsia="宋体" w:cs="Times New Roman"/>
                <w:b/>
                <w:sz w:val="24"/>
                <w:szCs w:val="24"/>
                <w:highlight w:val="none"/>
              </w:rPr>
            </w:pPr>
            <w:r>
              <w:rPr>
                <w:rFonts w:hint="default" w:ascii="Times New Roman" w:hAnsi="Times New Roman" w:eastAsia="宋体" w:cs="Times New Roman"/>
                <w:b/>
                <w:sz w:val="24"/>
                <w:szCs w:val="24"/>
                <w:highlight w:val="none"/>
              </w:rPr>
              <w:t>表6-</w:t>
            </w:r>
            <w:r>
              <w:rPr>
                <w:rFonts w:hint="eastAsia" w:ascii="Times New Roman" w:hAnsi="Times New Roman" w:eastAsia="宋体" w:cs="Times New Roman"/>
                <w:b/>
                <w:sz w:val="24"/>
                <w:szCs w:val="24"/>
                <w:highlight w:val="none"/>
                <w:lang w:val="en-US" w:eastAsia="zh-CN"/>
              </w:rPr>
              <w:t xml:space="preserve">2 </w:t>
            </w:r>
            <w:r>
              <w:rPr>
                <w:rFonts w:hint="default" w:ascii="Times New Roman" w:hAnsi="Times New Roman" w:eastAsia="宋体" w:cs="Times New Roman"/>
                <w:b/>
                <w:sz w:val="24"/>
                <w:szCs w:val="24"/>
                <w:highlight w:val="none"/>
              </w:rPr>
              <w:t>废水监测项目、点位及频次</w:t>
            </w:r>
          </w:p>
          <w:tbl>
            <w:tblPr>
              <w:tblStyle w:val="29"/>
              <w:tblW w:w="9238"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627"/>
              <w:gridCol w:w="1163"/>
              <w:gridCol w:w="4207"/>
              <w:gridCol w:w="2241"/>
            </w:tblGrid>
            <w:tr w14:paraId="4521D4C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80" w:type="pct"/>
                  <w:vAlign w:val="center"/>
                </w:tcPr>
                <w:p w14:paraId="43C89D44">
                  <w:pPr>
                    <w:jc w:val="center"/>
                    <w:rPr>
                      <w:rFonts w:hint="default" w:ascii="Times New Roman" w:hAnsi="Times New Roman" w:eastAsia="宋体" w:cs="Times New Roman"/>
                      <w:b/>
                      <w:szCs w:val="21"/>
                      <w:highlight w:val="none"/>
                    </w:rPr>
                  </w:pPr>
                  <w:r>
                    <w:rPr>
                      <w:rFonts w:hint="default" w:ascii="Times New Roman" w:hAnsi="Times New Roman" w:eastAsia="宋体" w:cs="Times New Roman"/>
                      <w:b/>
                      <w:szCs w:val="21"/>
                      <w:highlight w:val="none"/>
                    </w:rPr>
                    <w:t>污染源</w:t>
                  </w:r>
                </w:p>
              </w:tc>
              <w:tc>
                <w:tcPr>
                  <w:tcW w:w="629" w:type="pct"/>
                  <w:vAlign w:val="center"/>
                </w:tcPr>
                <w:p w14:paraId="47C2008D">
                  <w:pPr>
                    <w:jc w:val="center"/>
                    <w:rPr>
                      <w:rFonts w:hint="default" w:ascii="Times New Roman" w:hAnsi="Times New Roman" w:eastAsia="宋体" w:cs="Times New Roman"/>
                      <w:b/>
                      <w:szCs w:val="21"/>
                      <w:highlight w:val="none"/>
                    </w:rPr>
                  </w:pPr>
                  <w:r>
                    <w:rPr>
                      <w:rFonts w:hint="default" w:ascii="Times New Roman" w:hAnsi="Times New Roman" w:eastAsia="宋体" w:cs="Times New Roman"/>
                      <w:b/>
                      <w:szCs w:val="21"/>
                      <w:highlight w:val="none"/>
                    </w:rPr>
                    <w:t>监测点位</w:t>
                  </w:r>
                </w:p>
              </w:tc>
              <w:tc>
                <w:tcPr>
                  <w:tcW w:w="2277" w:type="pct"/>
                  <w:vAlign w:val="center"/>
                </w:tcPr>
                <w:p w14:paraId="06E8807E">
                  <w:pPr>
                    <w:jc w:val="center"/>
                    <w:rPr>
                      <w:rFonts w:hint="default" w:ascii="Times New Roman" w:hAnsi="Times New Roman" w:eastAsia="宋体" w:cs="Times New Roman"/>
                      <w:b/>
                      <w:szCs w:val="21"/>
                      <w:highlight w:val="none"/>
                    </w:rPr>
                  </w:pPr>
                  <w:r>
                    <w:rPr>
                      <w:rFonts w:hint="default" w:ascii="Times New Roman" w:hAnsi="Times New Roman" w:eastAsia="宋体" w:cs="Times New Roman"/>
                      <w:b/>
                      <w:szCs w:val="21"/>
                      <w:highlight w:val="none"/>
                    </w:rPr>
                    <w:t>监测项目</w:t>
                  </w:r>
                </w:p>
              </w:tc>
              <w:tc>
                <w:tcPr>
                  <w:tcW w:w="1212" w:type="pct"/>
                  <w:vAlign w:val="center"/>
                </w:tcPr>
                <w:p w14:paraId="6EEA06B6">
                  <w:pPr>
                    <w:jc w:val="center"/>
                    <w:rPr>
                      <w:rFonts w:hint="default" w:ascii="Times New Roman" w:hAnsi="Times New Roman" w:eastAsia="宋体" w:cs="Times New Roman"/>
                      <w:b/>
                      <w:szCs w:val="21"/>
                      <w:highlight w:val="none"/>
                    </w:rPr>
                  </w:pPr>
                  <w:r>
                    <w:rPr>
                      <w:rFonts w:hint="default" w:ascii="Times New Roman" w:hAnsi="Times New Roman" w:eastAsia="宋体" w:cs="Times New Roman"/>
                      <w:b/>
                      <w:szCs w:val="21"/>
                      <w:highlight w:val="none"/>
                    </w:rPr>
                    <w:t>监测频次</w:t>
                  </w:r>
                </w:p>
              </w:tc>
            </w:tr>
            <w:tr w14:paraId="36B9D30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880" w:type="pct"/>
                  <w:vAlign w:val="center"/>
                </w:tcPr>
                <w:p w14:paraId="5B28E06C">
                  <w:pPr>
                    <w:jc w:val="center"/>
                    <w:rPr>
                      <w:rFonts w:hint="default" w:ascii="Times New Roman" w:hAnsi="Times New Roman" w:eastAsia="宋体" w:cs="Times New Roman"/>
                      <w:szCs w:val="21"/>
                      <w:highlight w:val="none"/>
                    </w:rPr>
                  </w:pPr>
                  <w:r>
                    <w:rPr>
                      <w:rFonts w:hint="default" w:ascii="Times New Roman" w:hAnsi="Times New Roman" w:eastAsia="宋体" w:cs="Times New Roman"/>
                      <w:szCs w:val="21"/>
                      <w:highlight w:val="none"/>
                    </w:rPr>
                    <w:t>生产</w:t>
                  </w:r>
                  <w:r>
                    <w:rPr>
                      <w:rFonts w:hint="eastAsia" w:ascii="Times New Roman" w:hAnsi="Times New Roman" w:eastAsia="宋体" w:cs="Times New Roman"/>
                      <w:szCs w:val="21"/>
                      <w:highlight w:val="none"/>
                      <w:lang w:eastAsia="zh-CN"/>
                    </w:rPr>
                    <w:t>、</w:t>
                  </w:r>
                  <w:r>
                    <w:rPr>
                      <w:rFonts w:hint="eastAsia" w:ascii="Times New Roman" w:hAnsi="Times New Roman" w:eastAsia="宋体" w:cs="Times New Roman"/>
                      <w:szCs w:val="21"/>
                      <w:highlight w:val="none"/>
                      <w:lang w:val="en-US" w:eastAsia="zh-CN"/>
                    </w:rPr>
                    <w:t>生活</w:t>
                  </w:r>
                  <w:r>
                    <w:rPr>
                      <w:rFonts w:hint="default" w:ascii="Times New Roman" w:hAnsi="Times New Roman" w:eastAsia="宋体" w:cs="Times New Roman"/>
                      <w:szCs w:val="21"/>
                      <w:highlight w:val="none"/>
                    </w:rPr>
                    <w:t>废水</w:t>
                  </w:r>
                </w:p>
              </w:tc>
              <w:tc>
                <w:tcPr>
                  <w:tcW w:w="629" w:type="pct"/>
                  <w:vAlign w:val="center"/>
                </w:tcPr>
                <w:p w14:paraId="74B0C687">
                  <w:pPr>
                    <w:jc w:val="center"/>
                    <w:rPr>
                      <w:rFonts w:hint="default" w:ascii="Times New Roman" w:hAnsi="Times New Roman" w:eastAsia="宋体" w:cs="Times New Roman"/>
                      <w:szCs w:val="21"/>
                      <w:highlight w:val="none"/>
                      <w:lang w:val="en-US" w:eastAsia="zh-CN"/>
                    </w:rPr>
                  </w:pPr>
                  <w:r>
                    <w:rPr>
                      <w:rFonts w:hint="eastAsia" w:ascii="Times New Roman" w:hAnsi="Times New Roman" w:eastAsia="宋体" w:cs="Times New Roman"/>
                      <w:szCs w:val="21"/>
                      <w:highlight w:val="none"/>
                      <w:lang w:val="en-US" w:eastAsia="zh-CN"/>
                    </w:rPr>
                    <w:t>DW001</w:t>
                  </w:r>
                </w:p>
              </w:tc>
              <w:tc>
                <w:tcPr>
                  <w:tcW w:w="2277" w:type="pct"/>
                  <w:shd w:val="clear" w:color="auto" w:fill="auto"/>
                  <w:vAlign w:val="center"/>
                </w:tcPr>
                <w:p w14:paraId="73CA9113">
                  <w:pPr>
                    <w:jc w:val="center"/>
                    <w:rPr>
                      <w:rFonts w:hint="default" w:ascii="Times New Roman" w:hAnsi="Times New Roman" w:eastAsia="宋体" w:cs="Times New Roman"/>
                      <w:kern w:val="0"/>
                      <w:szCs w:val="21"/>
                      <w:highlight w:val="none"/>
                      <w:lang w:val="en-US" w:eastAsia="zh-CN"/>
                    </w:rPr>
                  </w:pPr>
                  <w:r>
                    <w:rPr>
                      <w:rFonts w:hint="default" w:ascii="Times New Roman" w:hAnsi="Times New Roman" w:eastAsia="宋体" w:cs="Times New Roman"/>
                      <w:szCs w:val="21"/>
                      <w:highlight w:val="none"/>
                    </w:rPr>
                    <w:t>五日生化需氧量（BOD5）</w:t>
                  </w:r>
                  <w:r>
                    <w:rPr>
                      <w:rFonts w:hint="eastAsia" w:ascii="Times New Roman" w:hAnsi="Times New Roman" w:eastAsia="宋体" w:cs="Times New Roman"/>
                      <w:szCs w:val="21"/>
                      <w:highlight w:val="none"/>
                      <w:lang w:eastAsia="zh-CN"/>
                    </w:rPr>
                    <w:t>、</w:t>
                  </w:r>
                  <w:r>
                    <w:rPr>
                      <w:rFonts w:hint="eastAsia" w:ascii="Times New Roman" w:hAnsi="Times New Roman" w:eastAsia="宋体" w:cs="Times New Roman"/>
                      <w:szCs w:val="21"/>
                      <w:highlight w:val="none"/>
                      <w:lang w:val="en-US" w:eastAsia="zh-CN" w:bidi="ar"/>
                    </w:rPr>
                    <w:t>全盐量（可溶性固体总量）、</w:t>
                  </w:r>
                  <w:r>
                    <w:rPr>
                      <w:rFonts w:hint="default" w:ascii="Times New Roman" w:hAnsi="Times New Roman" w:eastAsia="宋体" w:cs="Times New Roman"/>
                      <w:szCs w:val="21"/>
                      <w:highlight w:val="none"/>
                    </w:rPr>
                    <w:t>化学需氧量</w:t>
                  </w:r>
                  <w:r>
                    <w:rPr>
                      <w:rFonts w:hint="eastAsia" w:ascii="Times New Roman" w:hAnsi="Times New Roman" w:eastAsia="宋体" w:cs="Times New Roman"/>
                      <w:szCs w:val="21"/>
                      <w:highlight w:val="none"/>
                      <w:lang w:eastAsia="zh-CN"/>
                    </w:rPr>
                    <w:t>、</w:t>
                  </w:r>
                  <w:r>
                    <w:rPr>
                      <w:rFonts w:hint="eastAsia" w:ascii="Times New Roman" w:hAnsi="Times New Roman" w:eastAsia="宋体" w:cs="Times New Roman"/>
                      <w:szCs w:val="21"/>
                      <w:highlight w:val="none"/>
                      <w:lang w:val="en-US" w:eastAsia="zh-CN" w:bidi="ar"/>
                    </w:rPr>
                    <w:t>悬浮物、</w:t>
                  </w:r>
                  <w:r>
                    <w:rPr>
                      <w:rFonts w:hint="default" w:ascii="Times New Roman" w:hAnsi="Times New Roman" w:eastAsia="宋体" w:cs="Times New Roman"/>
                      <w:szCs w:val="21"/>
                      <w:highlight w:val="none"/>
                      <w:lang w:bidi="ar"/>
                    </w:rPr>
                    <w:t>氨氮</w:t>
                  </w:r>
                </w:p>
              </w:tc>
              <w:tc>
                <w:tcPr>
                  <w:tcW w:w="1212" w:type="pct"/>
                  <w:vAlign w:val="center"/>
                </w:tcPr>
                <w:p w14:paraId="175DAF6D">
                  <w:pPr>
                    <w:jc w:val="center"/>
                    <w:rPr>
                      <w:rFonts w:hint="default" w:ascii="Times New Roman" w:hAnsi="Times New Roman" w:eastAsia="宋体" w:cs="Times New Roman"/>
                      <w:szCs w:val="21"/>
                      <w:highlight w:val="none"/>
                    </w:rPr>
                  </w:pPr>
                  <w:r>
                    <w:rPr>
                      <w:rFonts w:hint="default" w:ascii="Times New Roman" w:hAnsi="Times New Roman" w:eastAsia="宋体" w:cs="Times New Roman"/>
                      <w:szCs w:val="21"/>
                      <w:highlight w:val="none"/>
                    </w:rPr>
                    <w:t>4次/d，连续监测2天</w:t>
                  </w:r>
                </w:p>
              </w:tc>
            </w:tr>
          </w:tbl>
          <w:p w14:paraId="19B57BC3">
            <w:pPr>
              <w:adjustRightInd w:val="0"/>
              <w:snapToGrid w:val="0"/>
              <w:spacing w:line="360" w:lineRule="auto"/>
              <w:ind w:firstLine="482" w:firstLineChars="200"/>
              <w:rPr>
                <w:rFonts w:hint="default" w:ascii="Times New Roman" w:hAnsi="Times New Roman" w:eastAsia="宋体" w:cs="Times New Roman"/>
                <w:b/>
                <w:sz w:val="24"/>
                <w:szCs w:val="24"/>
                <w:highlight w:val="none"/>
              </w:rPr>
            </w:pPr>
          </w:p>
          <w:p w14:paraId="6E446B58">
            <w:pPr>
              <w:adjustRightInd w:val="0"/>
              <w:snapToGrid w:val="0"/>
              <w:spacing w:line="360" w:lineRule="auto"/>
              <w:ind w:firstLine="482" w:firstLineChars="200"/>
              <w:rPr>
                <w:rFonts w:hint="default" w:ascii="Times New Roman" w:hAnsi="Times New Roman" w:eastAsia="宋体" w:cs="Times New Roman"/>
                <w:b/>
                <w:sz w:val="24"/>
                <w:szCs w:val="24"/>
                <w:highlight w:val="none"/>
              </w:rPr>
            </w:pPr>
            <w:r>
              <w:rPr>
                <w:rFonts w:hint="default" w:ascii="Times New Roman" w:hAnsi="Times New Roman" w:eastAsia="宋体" w:cs="Times New Roman"/>
                <w:b/>
                <w:sz w:val="24"/>
                <w:szCs w:val="24"/>
                <w:highlight w:val="none"/>
              </w:rPr>
              <w:t>三、噪声验收监测项目、点位与频次</w:t>
            </w:r>
          </w:p>
          <w:p w14:paraId="5CF893CF">
            <w:pPr>
              <w:pStyle w:val="51"/>
              <w:spacing w:line="360" w:lineRule="auto"/>
              <w:ind w:firstLine="480" w:firstLineChars="200"/>
              <w:rPr>
                <w:rFonts w:hint="default" w:ascii="Times New Roman" w:hAnsi="Times New Roman" w:cs="Times New Roman"/>
                <w:kern w:val="2"/>
                <w:highlight w:val="none"/>
              </w:rPr>
            </w:pPr>
            <w:r>
              <w:rPr>
                <w:rFonts w:hint="default" w:ascii="Times New Roman" w:hAnsi="Times New Roman" w:cs="Times New Roman"/>
                <w:kern w:val="2"/>
                <w:highlight w:val="none"/>
              </w:rPr>
              <w:t>本项目厂界噪声因子及频次见表6-3，</w:t>
            </w:r>
          </w:p>
          <w:p w14:paraId="7C644F20">
            <w:pPr>
              <w:adjustRightInd w:val="0"/>
              <w:snapToGrid w:val="0"/>
              <w:spacing w:line="360" w:lineRule="auto"/>
              <w:jc w:val="center"/>
              <w:rPr>
                <w:rFonts w:hint="default" w:ascii="Times New Roman" w:hAnsi="Times New Roman" w:eastAsia="宋体" w:cs="Times New Roman"/>
                <w:b/>
                <w:sz w:val="24"/>
                <w:szCs w:val="24"/>
                <w:highlight w:val="none"/>
              </w:rPr>
            </w:pPr>
            <w:r>
              <w:rPr>
                <w:rFonts w:hint="default" w:ascii="Times New Roman" w:hAnsi="Times New Roman" w:eastAsia="宋体" w:cs="Times New Roman"/>
                <w:b/>
                <w:sz w:val="24"/>
                <w:szCs w:val="24"/>
                <w:highlight w:val="none"/>
              </w:rPr>
              <w:t>表6-3噪声监测项目、点位及频次</w:t>
            </w:r>
          </w:p>
          <w:tbl>
            <w:tblPr>
              <w:tblStyle w:val="29"/>
              <w:tblW w:w="9258"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506"/>
              <w:gridCol w:w="2486"/>
              <w:gridCol w:w="1620"/>
              <w:gridCol w:w="3646"/>
            </w:tblGrid>
            <w:tr w14:paraId="31DCFE6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3" w:type="pct"/>
                  <w:tcBorders>
                    <w:tl2br w:val="nil"/>
                    <w:tr2bl w:val="nil"/>
                  </w:tcBorders>
                  <w:vAlign w:val="center"/>
                </w:tcPr>
                <w:p w14:paraId="097B1334">
                  <w:pPr>
                    <w:jc w:val="center"/>
                    <w:rPr>
                      <w:rFonts w:hint="default" w:ascii="Times New Roman" w:hAnsi="Times New Roman" w:eastAsia="宋体" w:cs="Times New Roman"/>
                      <w:b/>
                      <w:szCs w:val="21"/>
                      <w:highlight w:val="none"/>
                    </w:rPr>
                  </w:pPr>
                  <w:r>
                    <w:rPr>
                      <w:rFonts w:hint="default" w:ascii="Times New Roman" w:hAnsi="Times New Roman" w:eastAsia="宋体" w:cs="Times New Roman"/>
                      <w:b/>
                      <w:szCs w:val="21"/>
                      <w:highlight w:val="none"/>
                    </w:rPr>
                    <w:t>污染源</w:t>
                  </w:r>
                </w:p>
              </w:tc>
              <w:tc>
                <w:tcPr>
                  <w:tcW w:w="1342" w:type="pct"/>
                  <w:tcBorders>
                    <w:tl2br w:val="nil"/>
                    <w:tr2bl w:val="nil"/>
                  </w:tcBorders>
                  <w:vAlign w:val="center"/>
                </w:tcPr>
                <w:p w14:paraId="723E7725">
                  <w:pPr>
                    <w:jc w:val="center"/>
                    <w:rPr>
                      <w:rFonts w:hint="default" w:ascii="Times New Roman" w:hAnsi="Times New Roman" w:eastAsia="宋体" w:cs="Times New Roman"/>
                      <w:b/>
                      <w:szCs w:val="21"/>
                      <w:highlight w:val="none"/>
                    </w:rPr>
                  </w:pPr>
                  <w:r>
                    <w:rPr>
                      <w:rFonts w:hint="default" w:ascii="Times New Roman" w:hAnsi="Times New Roman" w:eastAsia="宋体" w:cs="Times New Roman"/>
                      <w:b/>
                      <w:szCs w:val="21"/>
                      <w:highlight w:val="none"/>
                    </w:rPr>
                    <w:t>监测点位</w:t>
                  </w:r>
                </w:p>
              </w:tc>
              <w:tc>
                <w:tcPr>
                  <w:tcW w:w="874" w:type="pct"/>
                  <w:tcBorders>
                    <w:tl2br w:val="nil"/>
                    <w:tr2bl w:val="nil"/>
                  </w:tcBorders>
                  <w:vAlign w:val="center"/>
                </w:tcPr>
                <w:p w14:paraId="6DE4D492">
                  <w:pPr>
                    <w:jc w:val="center"/>
                    <w:rPr>
                      <w:rFonts w:hint="default" w:ascii="Times New Roman" w:hAnsi="Times New Roman" w:eastAsia="宋体" w:cs="Times New Roman"/>
                      <w:b/>
                      <w:szCs w:val="21"/>
                      <w:highlight w:val="none"/>
                    </w:rPr>
                  </w:pPr>
                  <w:r>
                    <w:rPr>
                      <w:rFonts w:hint="default" w:ascii="Times New Roman" w:hAnsi="Times New Roman" w:eastAsia="宋体" w:cs="Times New Roman"/>
                      <w:b/>
                      <w:szCs w:val="21"/>
                      <w:highlight w:val="none"/>
                    </w:rPr>
                    <w:t>监测项目</w:t>
                  </w:r>
                </w:p>
              </w:tc>
              <w:tc>
                <w:tcPr>
                  <w:tcW w:w="1969" w:type="pct"/>
                  <w:tcBorders>
                    <w:tl2br w:val="nil"/>
                    <w:tr2bl w:val="nil"/>
                  </w:tcBorders>
                  <w:vAlign w:val="center"/>
                </w:tcPr>
                <w:p w14:paraId="3EEFB346">
                  <w:pPr>
                    <w:jc w:val="center"/>
                    <w:rPr>
                      <w:rFonts w:hint="default" w:ascii="Times New Roman" w:hAnsi="Times New Roman" w:eastAsia="宋体" w:cs="Times New Roman"/>
                      <w:b/>
                      <w:szCs w:val="21"/>
                      <w:highlight w:val="none"/>
                    </w:rPr>
                  </w:pPr>
                  <w:r>
                    <w:rPr>
                      <w:rFonts w:hint="default" w:ascii="Times New Roman" w:hAnsi="Times New Roman" w:eastAsia="宋体" w:cs="Times New Roman"/>
                      <w:b/>
                      <w:szCs w:val="21"/>
                      <w:highlight w:val="none"/>
                    </w:rPr>
                    <w:t>监测频次</w:t>
                  </w:r>
                </w:p>
              </w:tc>
            </w:tr>
            <w:tr w14:paraId="4B8D0F0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3" w:type="pct"/>
                  <w:vMerge w:val="restart"/>
                  <w:tcBorders>
                    <w:tl2br w:val="nil"/>
                    <w:tr2bl w:val="nil"/>
                  </w:tcBorders>
                  <w:vAlign w:val="center"/>
                </w:tcPr>
                <w:p w14:paraId="3EB22BAB">
                  <w:pPr>
                    <w:jc w:val="center"/>
                    <w:rPr>
                      <w:rFonts w:hint="default" w:ascii="Times New Roman" w:hAnsi="Times New Roman" w:eastAsia="宋体" w:cs="Times New Roman"/>
                      <w:b/>
                      <w:szCs w:val="21"/>
                      <w:highlight w:val="none"/>
                    </w:rPr>
                  </w:pPr>
                  <w:r>
                    <w:rPr>
                      <w:rFonts w:hint="default" w:ascii="Times New Roman" w:hAnsi="Times New Roman" w:eastAsia="宋体" w:cs="Times New Roman"/>
                      <w:szCs w:val="21"/>
                      <w:highlight w:val="none"/>
                    </w:rPr>
                    <w:t>噪声</w:t>
                  </w:r>
                </w:p>
              </w:tc>
              <w:tc>
                <w:tcPr>
                  <w:tcW w:w="1342" w:type="pct"/>
                  <w:tcBorders>
                    <w:tl2br w:val="nil"/>
                    <w:tr2bl w:val="nil"/>
                  </w:tcBorders>
                  <w:vAlign w:val="center"/>
                </w:tcPr>
                <w:p w14:paraId="15997100">
                  <w:pPr>
                    <w:jc w:val="center"/>
                    <w:rPr>
                      <w:rFonts w:hint="default" w:ascii="Times New Roman" w:hAnsi="Times New Roman" w:eastAsia="宋体" w:cs="Times New Roman"/>
                      <w:b/>
                      <w:szCs w:val="21"/>
                      <w:highlight w:val="none"/>
                    </w:rPr>
                  </w:pPr>
                  <w:r>
                    <w:rPr>
                      <w:rFonts w:hint="eastAsia" w:ascii="Times New Roman" w:hAnsi="Times New Roman" w:eastAsia="宋体" w:cs="Times New Roman"/>
                      <w:highlight w:val="none"/>
                      <w:lang w:val="en-US" w:eastAsia="zh-CN"/>
                    </w:rPr>
                    <w:t>1#东</w:t>
                  </w:r>
                  <w:r>
                    <w:rPr>
                      <w:rFonts w:hint="default" w:ascii="Times New Roman" w:hAnsi="Times New Roman" w:eastAsia="宋体" w:cs="Times New Roman"/>
                      <w:color w:val="000000" w:themeColor="text1"/>
                      <w:kern w:val="0"/>
                      <w:szCs w:val="21"/>
                      <w:highlight w:val="none"/>
                      <w14:textFill>
                        <w14:solidFill>
                          <w14:schemeClr w14:val="tx1"/>
                        </w14:solidFill>
                      </w14:textFill>
                    </w:rPr>
                    <w:t>厂界外1米</w:t>
                  </w:r>
                </w:p>
              </w:tc>
              <w:tc>
                <w:tcPr>
                  <w:tcW w:w="874" w:type="pct"/>
                  <w:vMerge w:val="restart"/>
                  <w:tcBorders>
                    <w:tl2br w:val="nil"/>
                    <w:tr2bl w:val="nil"/>
                  </w:tcBorders>
                  <w:vAlign w:val="center"/>
                </w:tcPr>
                <w:p w14:paraId="52EF1C40">
                  <w:pPr>
                    <w:jc w:val="center"/>
                    <w:rPr>
                      <w:rFonts w:hint="default" w:ascii="Times New Roman" w:hAnsi="Times New Roman" w:eastAsia="宋体" w:cs="Times New Roman"/>
                      <w:szCs w:val="21"/>
                      <w:highlight w:val="none"/>
                    </w:rPr>
                  </w:pPr>
                  <w:r>
                    <w:rPr>
                      <w:rFonts w:hint="default" w:ascii="Times New Roman" w:hAnsi="Times New Roman" w:eastAsia="宋体" w:cs="Times New Roman"/>
                      <w:szCs w:val="21"/>
                      <w:highlight w:val="none"/>
                    </w:rPr>
                    <w:t>厂界噪声</w:t>
                  </w:r>
                </w:p>
              </w:tc>
              <w:tc>
                <w:tcPr>
                  <w:tcW w:w="1969" w:type="pct"/>
                  <w:vMerge w:val="restart"/>
                  <w:tcBorders>
                    <w:tl2br w:val="nil"/>
                    <w:tr2bl w:val="nil"/>
                  </w:tcBorders>
                  <w:vAlign w:val="center"/>
                </w:tcPr>
                <w:p w14:paraId="34D3CE55">
                  <w:pPr>
                    <w:jc w:val="center"/>
                    <w:rPr>
                      <w:rFonts w:hint="default" w:ascii="Times New Roman" w:hAnsi="Times New Roman" w:eastAsia="宋体" w:cs="Times New Roman"/>
                      <w:szCs w:val="21"/>
                      <w:highlight w:val="none"/>
                    </w:rPr>
                  </w:pPr>
                  <w:r>
                    <w:rPr>
                      <w:rFonts w:hint="default" w:ascii="Times New Roman" w:hAnsi="Times New Roman" w:eastAsia="宋体" w:cs="Times New Roman"/>
                      <w:szCs w:val="21"/>
                      <w:highlight w:val="none"/>
                    </w:rPr>
                    <w:t>连续监测2天，每天昼</w:t>
                  </w:r>
                  <w:r>
                    <w:rPr>
                      <w:rFonts w:hint="eastAsia" w:ascii="Times New Roman" w:hAnsi="Times New Roman" w:eastAsia="宋体" w:cs="Times New Roman"/>
                      <w:szCs w:val="21"/>
                      <w:highlight w:val="none"/>
                      <w:lang w:val="en-US" w:eastAsia="zh-CN"/>
                    </w:rPr>
                    <w:t>间</w:t>
                  </w:r>
                  <w:r>
                    <w:rPr>
                      <w:rFonts w:hint="default" w:ascii="Times New Roman" w:hAnsi="Times New Roman" w:eastAsia="宋体" w:cs="Times New Roman"/>
                      <w:szCs w:val="21"/>
                      <w:highlight w:val="none"/>
                    </w:rPr>
                    <w:t>监测</w:t>
                  </w:r>
                  <w:r>
                    <w:rPr>
                      <w:rFonts w:hint="eastAsia" w:ascii="Times New Roman" w:hAnsi="Times New Roman" w:eastAsia="宋体" w:cs="Times New Roman"/>
                      <w:szCs w:val="21"/>
                      <w:highlight w:val="none"/>
                      <w:lang w:val="en-US" w:eastAsia="zh-CN"/>
                    </w:rPr>
                    <w:t>2</w:t>
                  </w:r>
                  <w:r>
                    <w:rPr>
                      <w:rFonts w:hint="default" w:ascii="Times New Roman" w:hAnsi="Times New Roman" w:eastAsia="宋体" w:cs="Times New Roman"/>
                      <w:szCs w:val="21"/>
                      <w:highlight w:val="none"/>
                    </w:rPr>
                    <w:t>次</w:t>
                  </w:r>
                </w:p>
              </w:tc>
            </w:tr>
            <w:tr w14:paraId="71BC3E6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3" w:type="pct"/>
                  <w:vMerge w:val="continue"/>
                  <w:tcBorders>
                    <w:tl2br w:val="nil"/>
                    <w:tr2bl w:val="nil"/>
                  </w:tcBorders>
                  <w:vAlign w:val="center"/>
                </w:tcPr>
                <w:p w14:paraId="2977804F">
                  <w:pPr>
                    <w:jc w:val="center"/>
                    <w:rPr>
                      <w:rFonts w:hint="default" w:ascii="Times New Roman" w:hAnsi="Times New Roman" w:eastAsia="宋体" w:cs="Times New Roman"/>
                      <w:szCs w:val="21"/>
                      <w:highlight w:val="none"/>
                    </w:rPr>
                  </w:pPr>
                </w:p>
              </w:tc>
              <w:tc>
                <w:tcPr>
                  <w:tcW w:w="1342" w:type="pct"/>
                  <w:tcBorders>
                    <w:tl2br w:val="nil"/>
                    <w:tr2bl w:val="nil"/>
                  </w:tcBorders>
                  <w:vAlign w:val="center"/>
                </w:tcPr>
                <w:p w14:paraId="7BB5BA73">
                  <w:pPr>
                    <w:jc w:val="center"/>
                    <w:rPr>
                      <w:rFonts w:hint="default" w:ascii="Times New Roman" w:hAnsi="Times New Roman" w:eastAsia="宋体" w:cs="Times New Roman"/>
                      <w:szCs w:val="21"/>
                      <w:highlight w:val="none"/>
                    </w:rPr>
                  </w:pPr>
                  <w:r>
                    <w:rPr>
                      <w:rFonts w:hint="eastAsia" w:ascii="Times New Roman" w:hAnsi="Times New Roman" w:eastAsia="宋体" w:cs="Times New Roman"/>
                      <w:highlight w:val="none"/>
                      <w:lang w:val="en-US" w:eastAsia="zh-CN"/>
                    </w:rPr>
                    <w:t>2#南</w:t>
                  </w:r>
                  <w:r>
                    <w:rPr>
                      <w:rFonts w:hint="default" w:ascii="Times New Roman" w:hAnsi="Times New Roman" w:eastAsia="宋体" w:cs="Times New Roman"/>
                      <w:color w:val="000000" w:themeColor="text1"/>
                      <w:kern w:val="0"/>
                      <w:szCs w:val="21"/>
                      <w:highlight w:val="none"/>
                      <w14:textFill>
                        <w14:solidFill>
                          <w14:schemeClr w14:val="tx1"/>
                        </w14:solidFill>
                      </w14:textFill>
                    </w:rPr>
                    <w:t>厂界外1米</w:t>
                  </w:r>
                </w:p>
              </w:tc>
              <w:tc>
                <w:tcPr>
                  <w:tcW w:w="874" w:type="pct"/>
                  <w:vMerge w:val="continue"/>
                  <w:tcBorders>
                    <w:tl2br w:val="nil"/>
                    <w:tr2bl w:val="nil"/>
                  </w:tcBorders>
                  <w:vAlign w:val="center"/>
                </w:tcPr>
                <w:p w14:paraId="5C59FB72">
                  <w:pPr>
                    <w:jc w:val="center"/>
                    <w:rPr>
                      <w:rFonts w:hint="default" w:ascii="Times New Roman" w:hAnsi="Times New Roman" w:eastAsia="宋体" w:cs="Times New Roman"/>
                      <w:szCs w:val="21"/>
                      <w:highlight w:val="none"/>
                    </w:rPr>
                  </w:pPr>
                </w:p>
              </w:tc>
              <w:tc>
                <w:tcPr>
                  <w:tcW w:w="1969" w:type="pct"/>
                  <w:vMerge w:val="continue"/>
                  <w:tcBorders>
                    <w:tl2br w:val="nil"/>
                    <w:tr2bl w:val="nil"/>
                  </w:tcBorders>
                  <w:vAlign w:val="center"/>
                </w:tcPr>
                <w:p w14:paraId="1095554A">
                  <w:pPr>
                    <w:jc w:val="center"/>
                    <w:rPr>
                      <w:rFonts w:hint="default" w:ascii="Times New Roman" w:hAnsi="Times New Roman" w:eastAsia="宋体" w:cs="Times New Roman"/>
                      <w:szCs w:val="21"/>
                      <w:highlight w:val="none"/>
                    </w:rPr>
                  </w:pPr>
                </w:p>
              </w:tc>
            </w:tr>
            <w:tr w14:paraId="72B4556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3" w:type="pct"/>
                  <w:vMerge w:val="continue"/>
                  <w:tcBorders>
                    <w:tl2br w:val="nil"/>
                    <w:tr2bl w:val="nil"/>
                  </w:tcBorders>
                  <w:vAlign w:val="center"/>
                </w:tcPr>
                <w:p w14:paraId="7FCCDAB7">
                  <w:pPr>
                    <w:jc w:val="center"/>
                    <w:rPr>
                      <w:rFonts w:hint="default" w:ascii="Times New Roman" w:hAnsi="Times New Roman" w:eastAsia="宋体" w:cs="Times New Roman"/>
                      <w:szCs w:val="21"/>
                      <w:highlight w:val="none"/>
                    </w:rPr>
                  </w:pPr>
                </w:p>
              </w:tc>
              <w:tc>
                <w:tcPr>
                  <w:tcW w:w="1342" w:type="pct"/>
                  <w:tcBorders>
                    <w:tl2br w:val="nil"/>
                    <w:tr2bl w:val="nil"/>
                  </w:tcBorders>
                  <w:vAlign w:val="center"/>
                </w:tcPr>
                <w:p w14:paraId="06C10AEE">
                  <w:pPr>
                    <w:jc w:val="center"/>
                    <w:rPr>
                      <w:rFonts w:hint="default" w:ascii="Times New Roman" w:hAnsi="Times New Roman" w:eastAsia="宋体" w:cs="Times New Roman"/>
                      <w:b/>
                      <w:szCs w:val="21"/>
                      <w:highlight w:val="none"/>
                    </w:rPr>
                  </w:pPr>
                  <w:r>
                    <w:rPr>
                      <w:rFonts w:hint="eastAsia" w:ascii="Times New Roman" w:hAnsi="Times New Roman" w:eastAsia="宋体" w:cs="Times New Roman"/>
                      <w:highlight w:val="none"/>
                      <w:lang w:val="en-US" w:eastAsia="zh-CN"/>
                    </w:rPr>
                    <w:t>3#</w:t>
                  </w:r>
                  <w:r>
                    <w:rPr>
                      <w:rFonts w:hint="default" w:ascii="Times New Roman" w:hAnsi="Times New Roman" w:eastAsia="宋体" w:cs="Times New Roman"/>
                      <w:highlight w:val="none"/>
                    </w:rPr>
                    <w:t>西</w:t>
                  </w:r>
                  <w:r>
                    <w:rPr>
                      <w:rFonts w:hint="default" w:ascii="Times New Roman" w:hAnsi="Times New Roman" w:eastAsia="宋体" w:cs="Times New Roman"/>
                      <w:color w:val="000000" w:themeColor="text1"/>
                      <w:kern w:val="0"/>
                      <w:szCs w:val="21"/>
                      <w:highlight w:val="none"/>
                      <w14:textFill>
                        <w14:solidFill>
                          <w14:schemeClr w14:val="tx1"/>
                        </w14:solidFill>
                      </w14:textFill>
                    </w:rPr>
                    <w:t>厂界外1米</w:t>
                  </w:r>
                </w:p>
              </w:tc>
              <w:tc>
                <w:tcPr>
                  <w:tcW w:w="874" w:type="pct"/>
                  <w:vMerge w:val="continue"/>
                  <w:tcBorders>
                    <w:tl2br w:val="nil"/>
                    <w:tr2bl w:val="nil"/>
                  </w:tcBorders>
                  <w:vAlign w:val="center"/>
                </w:tcPr>
                <w:p w14:paraId="36A426B8">
                  <w:pPr>
                    <w:jc w:val="center"/>
                    <w:rPr>
                      <w:rFonts w:hint="default" w:ascii="Times New Roman" w:hAnsi="Times New Roman" w:eastAsia="宋体" w:cs="Times New Roman"/>
                      <w:szCs w:val="21"/>
                      <w:highlight w:val="none"/>
                    </w:rPr>
                  </w:pPr>
                </w:p>
              </w:tc>
              <w:tc>
                <w:tcPr>
                  <w:tcW w:w="1969" w:type="pct"/>
                  <w:vMerge w:val="continue"/>
                  <w:tcBorders>
                    <w:tl2br w:val="nil"/>
                    <w:tr2bl w:val="nil"/>
                  </w:tcBorders>
                  <w:vAlign w:val="center"/>
                </w:tcPr>
                <w:p w14:paraId="35869C60">
                  <w:pPr>
                    <w:jc w:val="center"/>
                    <w:rPr>
                      <w:rFonts w:hint="default" w:ascii="Times New Roman" w:hAnsi="Times New Roman" w:eastAsia="宋体" w:cs="Times New Roman"/>
                      <w:szCs w:val="21"/>
                      <w:highlight w:val="none"/>
                    </w:rPr>
                  </w:pPr>
                </w:p>
              </w:tc>
            </w:tr>
            <w:tr w14:paraId="2A136DC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3" w:type="pct"/>
                  <w:vMerge w:val="continue"/>
                  <w:tcBorders>
                    <w:tl2br w:val="nil"/>
                    <w:tr2bl w:val="nil"/>
                  </w:tcBorders>
                  <w:vAlign w:val="center"/>
                </w:tcPr>
                <w:p w14:paraId="5421E2D8">
                  <w:pPr>
                    <w:jc w:val="center"/>
                    <w:rPr>
                      <w:rFonts w:hint="default" w:ascii="Times New Roman" w:hAnsi="Times New Roman" w:eastAsia="宋体" w:cs="Times New Roman"/>
                      <w:szCs w:val="21"/>
                      <w:highlight w:val="none"/>
                    </w:rPr>
                  </w:pPr>
                </w:p>
              </w:tc>
              <w:tc>
                <w:tcPr>
                  <w:tcW w:w="1342" w:type="pct"/>
                  <w:tcBorders>
                    <w:tl2br w:val="nil"/>
                    <w:tr2bl w:val="nil"/>
                  </w:tcBorders>
                  <w:vAlign w:val="center"/>
                </w:tcPr>
                <w:p w14:paraId="3957D6CB">
                  <w:pPr>
                    <w:jc w:val="center"/>
                    <w:rPr>
                      <w:rFonts w:hint="eastAsia" w:ascii="Times New Roman" w:hAnsi="Times New Roman" w:eastAsia="宋体" w:cs="Times New Roman"/>
                      <w:highlight w:val="none"/>
                      <w:lang w:val="en-US" w:eastAsia="zh-CN"/>
                    </w:rPr>
                  </w:pPr>
                  <w:r>
                    <w:rPr>
                      <w:rFonts w:hint="eastAsia" w:ascii="Times New Roman" w:hAnsi="Times New Roman" w:eastAsia="宋体" w:cs="Times New Roman"/>
                      <w:highlight w:val="none"/>
                      <w:lang w:val="en-US" w:eastAsia="zh-CN"/>
                    </w:rPr>
                    <w:t>4#</w:t>
                  </w:r>
                  <w:r>
                    <w:rPr>
                      <w:rFonts w:hint="default" w:ascii="Times New Roman" w:hAnsi="Times New Roman" w:eastAsia="宋体" w:cs="Times New Roman"/>
                      <w:highlight w:val="none"/>
                    </w:rPr>
                    <w:t>西</w:t>
                  </w:r>
                  <w:r>
                    <w:rPr>
                      <w:rFonts w:hint="default" w:ascii="Times New Roman" w:hAnsi="Times New Roman" w:eastAsia="宋体" w:cs="Times New Roman"/>
                      <w:color w:val="000000" w:themeColor="text1"/>
                      <w:kern w:val="0"/>
                      <w:szCs w:val="21"/>
                      <w:highlight w:val="none"/>
                      <w14:textFill>
                        <w14:solidFill>
                          <w14:schemeClr w14:val="tx1"/>
                        </w14:solidFill>
                      </w14:textFill>
                    </w:rPr>
                    <w:t>厂界外1米</w:t>
                  </w:r>
                </w:p>
              </w:tc>
              <w:tc>
                <w:tcPr>
                  <w:tcW w:w="874" w:type="pct"/>
                  <w:vMerge w:val="continue"/>
                  <w:tcBorders>
                    <w:tl2br w:val="nil"/>
                    <w:tr2bl w:val="nil"/>
                  </w:tcBorders>
                  <w:vAlign w:val="center"/>
                </w:tcPr>
                <w:p w14:paraId="33057D0A">
                  <w:pPr>
                    <w:jc w:val="center"/>
                    <w:rPr>
                      <w:rFonts w:hint="default" w:ascii="Times New Roman" w:hAnsi="Times New Roman" w:eastAsia="宋体" w:cs="Times New Roman"/>
                      <w:szCs w:val="21"/>
                      <w:highlight w:val="none"/>
                    </w:rPr>
                  </w:pPr>
                </w:p>
              </w:tc>
              <w:tc>
                <w:tcPr>
                  <w:tcW w:w="1969" w:type="pct"/>
                  <w:vMerge w:val="continue"/>
                  <w:tcBorders>
                    <w:tl2br w:val="nil"/>
                    <w:tr2bl w:val="nil"/>
                  </w:tcBorders>
                  <w:vAlign w:val="center"/>
                </w:tcPr>
                <w:p w14:paraId="76BB5EAD">
                  <w:pPr>
                    <w:jc w:val="center"/>
                    <w:rPr>
                      <w:rFonts w:hint="default" w:ascii="Times New Roman" w:hAnsi="Times New Roman" w:eastAsia="宋体" w:cs="Times New Roman"/>
                      <w:szCs w:val="21"/>
                      <w:highlight w:val="none"/>
                    </w:rPr>
                  </w:pPr>
                </w:p>
              </w:tc>
            </w:tr>
          </w:tbl>
          <w:p w14:paraId="60BE57FE">
            <w:pPr>
              <w:jc w:val="center"/>
              <w:rPr>
                <w:rFonts w:hint="default" w:ascii="Times New Roman" w:hAnsi="Times New Roman" w:eastAsia="宋体" w:cs="Times New Roman"/>
                <w:b/>
                <w:bCs/>
                <w:color w:val="000000" w:themeColor="text1"/>
                <w:sz w:val="24"/>
                <w:szCs w:val="24"/>
                <w:highlight w:val="none"/>
                <w14:textFill>
                  <w14:solidFill>
                    <w14:schemeClr w14:val="tx1"/>
                  </w14:solidFill>
                </w14:textFill>
              </w:rPr>
            </w:pPr>
          </w:p>
          <w:p w14:paraId="66B6E347">
            <w:pPr>
              <w:spacing w:line="360" w:lineRule="auto"/>
              <w:rPr>
                <w:rFonts w:hint="default" w:ascii="Times New Roman" w:hAnsi="Times New Roman" w:eastAsia="宋体" w:cs="Times New Roman"/>
                <w:b/>
                <w:bCs/>
                <w:color w:val="FF0000"/>
                <w:sz w:val="24"/>
                <w:szCs w:val="24"/>
                <w:highlight w:val="yellow"/>
              </w:rPr>
            </w:pPr>
          </w:p>
        </w:tc>
      </w:tr>
    </w:tbl>
    <w:p w14:paraId="51C86DC1">
      <w:pPr>
        <w:adjustRightInd w:val="0"/>
        <w:snapToGrid w:val="0"/>
        <w:spacing w:before="120" w:beforeLines="50" w:line="360" w:lineRule="auto"/>
        <w:rPr>
          <w:rFonts w:hint="default" w:ascii="Times New Roman" w:hAnsi="Times New Roman" w:eastAsia="宋体" w:cs="Times New Roman"/>
          <w:b/>
          <w:bCs w:val="0"/>
          <w:sz w:val="28"/>
          <w:szCs w:val="28"/>
        </w:rPr>
      </w:pPr>
    </w:p>
    <w:p w14:paraId="75403E2A">
      <w:pPr>
        <w:adjustRightInd w:val="0"/>
        <w:snapToGrid w:val="0"/>
        <w:spacing w:before="120" w:beforeLines="50" w:line="360" w:lineRule="auto"/>
        <w:rPr>
          <w:rFonts w:hint="default" w:ascii="Times New Roman" w:hAnsi="Times New Roman" w:eastAsia="宋体" w:cs="Times New Roman"/>
          <w:b/>
          <w:bCs w:val="0"/>
          <w:sz w:val="28"/>
          <w:szCs w:val="28"/>
        </w:rPr>
      </w:pPr>
    </w:p>
    <w:p w14:paraId="4C58BBD6">
      <w:pPr>
        <w:adjustRightInd w:val="0"/>
        <w:snapToGrid w:val="0"/>
        <w:spacing w:before="120" w:beforeLines="50" w:line="360" w:lineRule="auto"/>
        <w:rPr>
          <w:rFonts w:hint="default" w:ascii="Times New Roman" w:hAnsi="Times New Roman" w:eastAsia="宋体" w:cs="Times New Roman"/>
          <w:b/>
          <w:bCs w:val="0"/>
          <w:sz w:val="28"/>
          <w:szCs w:val="28"/>
        </w:rPr>
      </w:pPr>
    </w:p>
    <w:p w14:paraId="3341F8DD">
      <w:pPr>
        <w:adjustRightInd w:val="0"/>
        <w:snapToGrid w:val="0"/>
        <w:spacing w:before="120" w:beforeLines="50" w:line="360" w:lineRule="auto"/>
        <w:rPr>
          <w:rFonts w:hint="default" w:ascii="Times New Roman" w:hAnsi="Times New Roman" w:eastAsia="宋体" w:cs="Times New Roman"/>
          <w:b/>
          <w:bCs w:val="0"/>
          <w:sz w:val="28"/>
          <w:szCs w:val="28"/>
        </w:rPr>
      </w:pPr>
    </w:p>
    <w:p w14:paraId="6F57001D">
      <w:pPr>
        <w:adjustRightInd w:val="0"/>
        <w:snapToGrid w:val="0"/>
        <w:spacing w:before="120" w:beforeLines="50" w:line="360" w:lineRule="auto"/>
        <w:rPr>
          <w:rFonts w:hint="default" w:ascii="Times New Roman" w:hAnsi="Times New Roman" w:eastAsia="宋体" w:cs="Times New Roman"/>
          <w:b/>
          <w:bCs w:val="0"/>
          <w:sz w:val="28"/>
          <w:szCs w:val="28"/>
        </w:rPr>
      </w:pPr>
      <w:r>
        <w:rPr>
          <w:rFonts w:hint="default" w:ascii="Times New Roman" w:hAnsi="Times New Roman" w:eastAsia="宋体" w:cs="Times New Roman"/>
          <w:b/>
          <w:bCs w:val="0"/>
          <w:sz w:val="28"/>
          <w:szCs w:val="28"/>
        </w:rPr>
        <w:t>表七</w:t>
      </w:r>
    </w:p>
    <w:tbl>
      <w:tblPr>
        <w:tblStyle w:val="3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80"/>
      </w:tblGrid>
      <w:tr w14:paraId="6BBA02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5" w:hRule="atLeast"/>
        </w:trPr>
        <w:tc>
          <w:tcPr>
            <w:tcW w:w="9180" w:type="dxa"/>
          </w:tcPr>
          <w:p w14:paraId="3F41A1AD">
            <w:pPr>
              <w:adjustRightInd w:val="0"/>
              <w:snapToGrid w:val="0"/>
              <w:spacing w:before="120" w:beforeLines="50" w:line="360" w:lineRule="auto"/>
              <w:rPr>
                <w:rFonts w:hint="default" w:ascii="Times New Roman" w:hAnsi="Times New Roman" w:eastAsia="宋体" w:cs="Times New Roman"/>
                <w:b/>
                <w:sz w:val="28"/>
                <w:szCs w:val="28"/>
              </w:rPr>
            </w:pPr>
            <w:r>
              <w:rPr>
                <w:rFonts w:hint="default" w:ascii="Times New Roman" w:hAnsi="Times New Roman" w:eastAsia="宋体" w:cs="Times New Roman"/>
                <w:b/>
                <w:sz w:val="28"/>
                <w:szCs w:val="28"/>
              </w:rPr>
              <w:t>验收监测期间生产工况记录：</w:t>
            </w:r>
          </w:p>
          <w:p w14:paraId="4D6F10F1">
            <w:pPr>
              <w:adjustRightInd w:val="0"/>
              <w:snapToGrid w:val="0"/>
              <w:spacing w:before="120" w:beforeLines="50" w:line="360" w:lineRule="auto"/>
              <w:ind w:firstLine="480" w:firstLineChars="200"/>
              <w:rPr>
                <w:rFonts w:hint="eastAsia" w:cs="Times New Roman"/>
                <w:b/>
                <w:bCs/>
                <w:color w:val="auto"/>
                <w:sz w:val="21"/>
                <w:szCs w:val="21"/>
                <w:highlight w:val="yellow"/>
                <w:lang w:val="en-US" w:eastAsia="zh-CN"/>
              </w:rPr>
            </w:pPr>
            <w:r>
              <w:rPr>
                <w:rFonts w:hint="default" w:ascii="Times New Roman" w:hAnsi="Times New Roman" w:eastAsia="宋体" w:cs="Times New Roman"/>
                <w:sz w:val="24"/>
                <w:szCs w:val="24"/>
                <w:highlight w:val="none"/>
                <w:lang w:val="en-US" w:eastAsia="zh-CN"/>
              </w:rPr>
              <w:t>中谱（北京）测试科技有限公司</w:t>
            </w:r>
            <w:r>
              <w:rPr>
                <w:rFonts w:hint="eastAsia" w:ascii="Times New Roman" w:hAnsi="Times New Roman" w:eastAsia="宋体" w:cs="Times New Roman"/>
                <w:sz w:val="24"/>
                <w:szCs w:val="24"/>
                <w:highlight w:val="none"/>
                <w:lang w:val="en-US" w:eastAsia="zh-CN"/>
              </w:rPr>
              <w:t>及壹检(北京)生物科技有限公司</w:t>
            </w:r>
            <w:r>
              <w:rPr>
                <w:rFonts w:hint="default" w:ascii="Times New Roman" w:hAnsi="Times New Roman" w:eastAsia="宋体" w:cs="Times New Roman"/>
                <w:sz w:val="24"/>
                <w:szCs w:val="24"/>
                <w:highlight w:val="none"/>
                <w:lang w:val="en-US" w:eastAsia="zh-CN"/>
              </w:rPr>
              <w:t>于202</w:t>
            </w:r>
            <w:r>
              <w:rPr>
                <w:rFonts w:hint="eastAsia" w:ascii="Times New Roman" w:hAnsi="Times New Roman" w:eastAsia="宋体" w:cs="Times New Roman"/>
                <w:sz w:val="24"/>
                <w:szCs w:val="24"/>
                <w:highlight w:val="none"/>
                <w:lang w:val="en-US" w:eastAsia="zh-CN"/>
              </w:rPr>
              <w:t>5</w:t>
            </w:r>
            <w:r>
              <w:rPr>
                <w:rFonts w:hint="default" w:ascii="Times New Roman" w:hAnsi="Times New Roman" w:eastAsia="宋体" w:cs="Times New Roman"/>
                <w:sz w:val="24"/>
                <w:szCs w:val="24"/>
                <w:highlight w:val="none"/>
                <w:lang w:val="en-US" w:eastAsia="zh-CN"/>
              </w:rPr>
              <w:t>年0</w:t>
            </w:r>
            <w:r>
              <w:rPr>
                <w:rFonts w:hint="eastAsia" w:ascii="Times New Roman" w:hAnsi="Times New Roman" w:eastAsia="宋体" w:cs="Times New Roman"/>
                <w:sz w:val="24"/>
                <w:szCs w:val="24"/>
                <w:highlight w:val="none"/>
                <w:lang w:val="en-US" w:eastAsia="zh-CN"/>
              </w:rPr>
              <w:t>9</w:t>
            </w:r>
            <w:r>
              <w:rPr>
                <w:rFonts w:hint="default" w:ascii="Times New Roman" w:hAnsi="Times New Roman" w:eastAsia="宋体" w:cs="Times New Roman"/>
                <w:sz w:val="24"/>
                <w:szCs w:val="24"/>
                <w:highlight w:val="none"/>
                <w:lang w:val="en-US" w:eastAsia="zh-CN"/>
              </w:rPr>
              <w:t>月</w:t>
            </w:r>
            <w:r>
              <w:rPr>
                <w:rFonts w:hint="eastAsia" w:ascii="Times New Roman" w:hAnsi="Times New Roman" w:eastAsia="宋体" w:cs="Times New Roman"/>
                <w:sz w:val="24"/>
                <w:szCs w:val="24"/>
                <w:highlight w:val="none"/>
                <w:lang w:val="en-US" w:eastAsia="zh-CN"/>
              </w:rPr>
              <w:t>20</w:t>
            </w:r>
            <w:r>
              <w:rPr>
                <w:rFonts w:hint="default" w:ascii="Times New Roman" w:hAnsi="Times New Roman" w:eastAsia="宋体" w:cs="Times New Roman"/>
                <w:sz w:val="24"/>
                <w:szCs w:val="24"/>
                <w:highlight w:val="none"/>
                <w:lang w:val="en-US" w:eastAsia="zh-CN"/>
              </w:rPr>
              <w:t>日至</w:t>
            </w:r>
            <w:r>
              <w:rPr>
                <w:rFonts w:hint="eastAsia" w:ascii="Times New Roman" w:hAnsi="Times New Roman" w:eastAsia="宋体" w:cs="Times New Roman"/>
                <w:sz w:val="24"/>
                <w:szCs w:val="24"/>
                <w:highlight w:val="none"/>
                <w:lang w:val="en-US" w:eastAsia="zh-CN"/>
              </w:rPr>
              <w:t>9月21</w:t>
            </w:r>
            <w:r>
              <w:rPr>
                <w:rFonts w:hint="default" w:ascii="Times New Roman" w:hAnsi="Times New Roman" w:eastAsia="宋体" w:cs="Times New Roman"/>
                <w:sz w:val="24"/>
                <w:szCs w:val="24"/>
                <w:highlight w:val="none"/>
                <w:lang w:val="en-US" w:eastAsia="zh-CN"/>
              </w:rPr>
              <w:t>日</w:t>
            </w:r>
            <w:r>
              <w:rPr>
                <w:rFonts w:hint="eastAsia" w:ascii="Times New Roman" w:hAnsi="Times New Roman" w:eastAsia="宋体" w:cs="Times New Roman"/>
                <w:sz w:val="24"/>
                <w:szCs w:val="24"/>
                <w:highlight w:val="none"/>
                <w:lang w:val="en-US" w:eastAsia="zh-CN"/>
              </w:rPr>
              <w:t>、</w:t>
            </w:r>
            <w:r>
              <w:rPr>
                <w:rFonts w:hint="default" w:ascii="Times New Roman" w:hAnsi="Times New Roman" w:eastAsia="宋体" w:cs="Times New Roman"/>
                <w:sz w:val="24"/>
                <w:szCs w:val="24"/>
                <w:highlight w:val="none"/>
                <w:lang w:val="en-US" w:eastAsia="zh-CN"/>
              </w:rPr>
              <w:t>202</w:t>
            </w:r>
            <w:r>
              <w:rPr>
                <w:rFonts w:hint="eastAsia" w:ascii="Times New Roman" w:hAnsi="Times New Roman" w:eastAsia="宋体" w:cs="Times New Roman"/>
                <w:sz w:val="24"/>
                <w:szCs w:val="24"/>
                <w:highlight w:val="none"/>
                <w:lang w:val="en-US" w:eastAsia="zh-CN"/>
              </w:rPr>
              <w:t>5</w:t>
            </w:r>
            <w:r>
              <w:rPr>
                <w:rFonts w:hint="default" w:ascii="Times New Roman" w:hAnsi="Times New Roman" w:eastAsia="宋体" w:cs="Times New Roman"/>
                <w:sz w:val="24"/>
                <w:szCs w:val="24"/>
                <w:highlight w:val="none"/>
                <w:lang w:val="en-US" w:eastAsia="zh-CN"/>
              </w:rPr>
              <w:t>年</w:t>
            </w:r>
            <w:r>
              <w:rPr>
                <w:rFonts w:hint="eastAsia" w:ascii="Times New Roman" w:hAnsi="Times New Roman" w:eastAsia="宋体" w:cs="Times New Roman"/>
                <w:sz w:val="24"/>
                <w:szCs w:val="24"/>
                <w:highlight w:val="none"/>
                <w:lang w:val="en-US" w:eastAsia="zh-CN"/>
              </w:rPr>
              <w:t>10</w:t>
            </w:r>
            <w:r>
              <w:rPr>
                <w:rFonts w:hint="default" w:ascii="Times New Roman" w:hAnsi="Times New Roman" w:eastAsia="宋体" w:cs="Times New Roman"/>
                <w:sz w:val="24"/>
                <w:szCs w:val="24"/>
                <w:highlight w:val="none"/>
                <w:lang w:val="en-US" w:eastAsia="zh-CN"/>
              </w:rPr>
              <w:t>月</w:t>
            </w:r>
            <w:r>
              <w:rPr>
                <w:rFonts w:hint="eastAsia" w:ascii="Times New Roman" w:hAnsi="Times New Roman" w:eastAsia="宋体" w:cs="Times New Roman"/>
                <w:sz w:val="24"/>
                <w:szCs w:val="24"/>
                <w:highlight w:val="none"/>
                <w:lang w:val="en-US" w:eastAsia="zh-CN"/>
              </w:rPr>
              <w:t>25</w:t>
            </w:r>
            <w:r>
              <w:rPr>
                <w:rFonts w:hint="default" w:ascii="Times New Roman" w:hAnsi="Times New Roman" w:eastAsia="宋体" w:cs="Times New Roman"/>
                <w:sz w:val="24"/>
                <w:szCs w:val="24"/>
                <w:highlight w:val="none"/>
                <w:lang w:val="en-US" w:eastAsia="zh-CN"/>
              </w:rPr>
              <w:t>日至</w:t>
            </w:r>
            <w:r>
              <w:rPr>
                <w:rFonts w:hint="eastAsia" w:ascii="Times New Roman" w:hAnsi="Times New Roman" w:eastAsia="宋体" w:cs="Times New Roman"/>
                <w:sz w:val="24"/>
                <w:szCs w:val="24"/>
                <w:highlight w:val="none"/>
                <w:lang w:val="en-US" w:eastAsia="zh-CN"/>
              </w:rPr>
              <w:t>10月26</w:t>
            </w:r>
            <w:r>
              <w:rPr>
                <w:rFonts w:hint="default" w:ascii="Times New Roman" w:hAnsi="Times New Roman" w:eastAsia="宋体" w:cs="Times New Roman"/>
                <w:sz w:val="24"/>
                <w:szCs w:val="24"/>
                <w:highlight w:val="none"/>
                <w:lang w:val="en-US" w:eastAsia="zh-CN"/>
              </w:rPr>
              <w:t>日</w:t>
            </w:r>
            <w:r>
              <w:rPr>
                <w:rFonts w:hint="eastAsia" w:ascii="Times New Roman" w:hAnsi="Times New Roman" w:eastAsia="宋体" w:cs="Times New Roman"/>
                <w:sz w:val="24"/>
                <w:szCs w:val="24"/>
                <w:highlight w:val="none"/>
                <w:lang w:val="en-US" w:eastAsia="zh-CN"/>
              </w:rPr>
              <w:t>、</w:t>
            </w:r>
            <w:r>
              <w:rPr>
                <w:rFonts w:hint="default" w:ascii="Times New Roman" w:hAnsi="Times New Roman" w:eastAsia="宋体" w:cs="Times New Roman"/>
                <w:sz w:val="24"/>
                <w:szCs w:val="24"/>
                <w:highlight w:val="none"/>
                <w:lang w:val="en-US" w:eastAsia="zh-CN"/>
              </w:rPr>
              <w:t>202</w:t>
            </w:r>
            <w:r>
              <w:rPr>
                <w:rFonts w:hint="eastAsia" w:ascii="Times New Roman" w:hAnsi="Times New Roman" w:eastAsia="宋体" w:cs="Times New Roman"/>
                <w:sz w:val="24"/>
                <w:szCs w:val="24"/>
                <w:highlight w:val="none"/>
                <w:lang w:val="en-US" w:eastAsia="zh-CN"/>
              </w:rPr>
              <w:t>5</w:t>
            </w:r>
            <w:r>
              <w:rPr>
                <w:rFonts w:hint="default" w:ascii="Times New Roman" w:hAnsi="Times New Roman" w:eastAsia="宋体" w:cs="Times New Roman"/>
                <w:sz w:val="24"/>
                <w:szCs w:val="24"/>
                <w:highlight w:val="none"/>
                <w:lang w:val="en-US" w:eastAsia="zh-CN"/>
              </w:rPr>
              <w:t>年</w:t>
            </w:r>
            <w:r>
              <w:rPr>
                <w:rFonts w:hint="eastAsia" w:ascii="Times New Roman" w:hAnsi="Times New Roman" w:eastAsia="宋体" w:cs="Times New Roman"/>
                <w:sz w:val="24"/>
                <w:szCs w:val="24"/>
                <w:highlight w:val="none"/>
                <w:lang w:val="en-US" w:eastAsia="zh-CN"/>
              </w:rPr>
              <w:t>11</w:t>
            </w:r>
            <w:r>
              <w:rPr>
                <w:rFonts w:hint="default" w:ascii="Times New Roman" w:hAnsi="Times New Roman" w:eastAsia="宋体" w:cs="Times New Roman"/>
                <w:sz w:val="24"/>
                <w:szCs w:val="24"/>
                <w:highlight w:val="none"/>
                <w:lang w:val="en-US" w:eastAsia="zh-CN"/>
              </w:rPr>
              <w:t>月</w:t>
            </w:r>
            <w:r>
              <w:rPr>
                <w:rFonts w:hint="eastAsia" w:ascii="Times New Roman" w:hAnsi="Times New Roman" w:eastAsia="宋体" w:cs="Times New Roman"/>
                <w:sz w:val="24"/>
                <w:szCs w:val="24"/>
                <w:highlight w:val="none"/>
                <w:lang w:val="en-US" w:eastAsia="zh-CN"/>
              </w:rPr>
              <w:t>03</w:t>
            </w:r>
            <w:r>
              <w:rPr>
                <w:rFonts w:hint="default" w:ascii="Times New Roman" w:hAnsi="Times New Roman" w:eastAsia="宋体" w:cs="Times New Roman"/>
                <w:sz w:val="24"/>
                <w:szCs w:val="24"/>
                <w:highlight w:val="none"/>
                <w:lang w:val="en-US" w:eastAsia="zh-CN"/>
              </w:rPr>
              <w:t>日至</w:t>
            </w:r>
            <w:r>
              <w:rPr>
                <w:rFonts w:hint="eastAsia" w:ascii="Times New Roman" w:hAnsi="Times New Roman" w:eastAsia="宋体" w:cs="Times New Roman"/>
                <w:sz w:val="24"/>
                <w:szCs w:val="24"/>
                <w:highlight w:val="none"/>
                <w:lang w:val="en-US" w:eastAsia="zh-CN"/>
              </w:rPr>
              <w:t>11月04</w:t>
            </w:r>
            <w:r>
              <w:rPr>
                <w:rFonts w:hint="default" w:ascii="Times New Roman" w:hAnsi="Times New Roman" w:eastAsia="宋体" w:cs="Times New Roman"/>
                <w:sz w:val="24"/>
                <w:szCs w:val="24"/>
                <w:highlight w:val="none"/>
                <w:lang w:val="en-US" w:eastAsia="zh-CN"/>
              </w:rPr>
              <w:t>日进行了竣工验收监测并出具检测报告，监测期间企业生产工况稳定、设施运行均正常。</w:t>
            </w:r>
          </w:p>
          <w:p w14:paraId="3D8E47FD">
            <w:pPr>
              <w:adjustRightInd w:val="0"/>
              <w:snapToGrid w:val="0"/>
              <w:spacing w:before="120" w:beforeLines="50" w:line="360" w:lineRule="auto"/>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b/>
                <w:sz w:val="28"/>
                <w:szCs w:val="28"/>
              </w:rPr>
              <w:t>验收监测结果：</w:t>
            </w:r>
          </w:p>
          <w:p w14:paraId="6A37F477">
            <w:pPr>
              <w:pStyle w:val="3"/>
              <w:ind w:left="482"/>
              <w:rPr>
                <w:rFonts w:hint="default" w:ascii="Times New Roman" w:hAnsi="Times New Roman" w:cs="Times New Roman"/>
                <w:szCs w:val="24"/>
              </w:rPr>
            </w:pPr>
            <w:r>
              <w:rPr>
                <w:rFonts w:hint="default" w:ascii="Times New Roman" w:hAnsi="Times New Roman" w:cs="Times New Roman"/>
                <w:szCs w:val="24"/>
              </w:rPr>
              <w:t>二、废气</w:t>
            </w:r>
          </w:p>
          <w:p w14:paraId="1578357F">
            <w:pPr>
              <w:adjustRightInd w:val="0"/>
              <w:snapToGrid w:val="0"/>
              <w:spacing w:line="360" w:lineRule="auto"/>
              <w:ind w:firstLine="480" w:firstLineChars="200"/>
              <w:jc w:val="both"/>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根据中谱（北京）测试科技有限公司</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及</w:t>
            </w:r>
            <w:r>
              <w:rPr>
                <w:rFonts w:hint="eastAsia" w:ascii="Times New Roman" w:hAnsi="Times New Roman" w:eastAsia="宋体" w:cs="Times New Roman"/>
                <w:sz w:val="24"/>
                <w:szCs w:val="24"/>
                <w:highlight w:val="none"/>
                <w:lang w:val="en-US" w:eastAsia="zh-CN"/>
              </w:rPr>
              <w:t>壹检(北京)生物科技有限公司</w:t>
            </w:r>
            <w:r>
              <w:rPr>
                <w:rFonts w:hint="default" w:ascii="Times New Roman" w:hAnsi="Times New Roman" w:eastAsia="宋体" w:cs="Times New Roman"/>
                <w:color w:val="000000" w:themeColor="text1"/>
                <w:sz w:val="24"/>
                <w:szCs w:val="24"/>
                <w14:textFill>
                  <w14:solidFill>
                    <w14:schemeClr w14:val="tx1"/>
                  </w14:solidFill>
                </w14:textFill>
              </w:rPr>
              <w:t>出具的本项目检测报告，本项目</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废气</w:t>
            </w:r>
            <w:r>
              <w:rPr>
                <w:rFonts w:hint="default" w:ascii="Times New Roman" w:hAnsi="Times New Roman" w:eastAsia="宋体" w:cs="Times New Roman"/>
                <w:color w:val="000000" w:themeColor="text1"/>
                <w:sz w:val="24"/>
                <w:szCs w:val="24"/>
                <w14:textFill>
                  <w14:solidFill>
                    <w14:schemeClr w14:val="tx1"/>
                  </w14:solidFill>
                </w14:textFill>
              </w:rPr>
              <w:t>监测结果见表</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7-</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1、7-2。</w:t>
            </w:r>
          </w:p>
          <w:p w14:paraId="34287F0A">
            <w:pPr>
              <w:adjustRightInd w:val="0"/>
              <w:snapToGrid w:val="0"/>
              <w:spacing w:line="240" w:lineRule="auto"/>
              <w:jc w:val="center"/>
              <w:rPr>
                <w:rFonts w:hint="eastAsia" w:ascii="Times New Roman" w:hAnsi="Times New Roman" w:eastAsia="宋体" w:cs="Times New Roman"/>
                <w:b/>
                <w:sz w:val="24"/>
                <w:szCs w:val="24"/>
                <w:lang w:val="en-US" w:eastAsia="zh-CN"/>
              </w:rPr>
            </w:pPr>
            <w:r>
              <w:rPr>
                <w:rFonts w:hint="eastAsia" w:ascii="Times New Roman" w:hAnsi="Times New Roman" w:eastAsia="宋体" w:cs="Times New Roman"/>
                <w:b/>
                <w:sz w:val="24"/>
                <w:szCs w:val="24"/>
                <w:lang w:val="en-US" w:eastAsia="zh-CN"/>
              </w:rPr>
              <w:t>表7-1 实验室废气检测结果</w:t>
            </w:r>
          </w:p>
          <w:tbl>
            <w:tblPr>
              <w:tblStyle w:val="30"/>
              <w:tblW w:w="9244" w:type="dxa"/>
              <w:tblInd w:w="-67"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69"/>
              <w:gridCol w:w="1106"/>
              <w:gridCol w:w="1368"/>
              <w:gridCol w:w="1180"/>
              <w:gridCol w:w="1180"/>
              <w:gridCol w:w="1181"/>
              <w:gridCol w:w="455"/>
              <w:gridCol w:w="1152"/>
              <w:gridCol w:w="1153"/>
            </w:tblGrid>
            <w:tr w14:paraId="5FBCD01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07" w:hRule="atLeast"/>
              </w:trPr>
              <w:tc>
                <w:tcPr>
                  <w:tcW w:w="253" w:type="pct"/>
                  <w:vMerge w:val="restart"/>
                  <w:tcBorders>
                    <w:tl2br w:val="nil"/>
                    <w:tr2bl w:val="nil"/>
                  </w:tcBorders>
                  <w:shd w:val="clear" w:color="auto" w:fill="auto"/>
                  <w:noWrap w:val="0"/>
                  <w:vAlign w:val="center"/>
                </w:tcPr>
                <w:p w14:paraId="3EB6A920">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宋体" w:cs="Times New Roman"/>
                      <w:b w:val="0"/>
                      <w:bCs w:val="0"/>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采样时间</w:t>
                  </w:r>
                </w:p>
              </w:tc>
              <w:tc>
                <w:tcPr>
                  <w:tcW w:w="598" w:type="pct"/>
                  <w:vMerge w:val="restart"/>
                  <w:tcBorders>
                    <w:tl2br w:val="nil"/>
                    <w:tr2bl w:val="nil"/>
                  </w:tcBorders>
                  <w:shd w:val="clear" w:color="auto" w:fill="auto"/>
                  <w:noWrap w:val="0"/>
                  <w:vAlign w:val="center"/>
                </w:tcPr>
                <w:p w14:paraId="1D9B6EB3">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频次</w:t>
                  </w:r>
                </w:p>
              </w:tc>
              <w:tc>
                <w:tcPr>
                  <w:tcW w:w="1378" w:type="pct"/>
                  <w:gridSpan w:val="2"/>
                  <w:tcBorders>
                    <w:tl2br w:val="nil"/>
                    <w:tr2bl w:val="nil"/>
                  </w:tcBorders>
                  <w:shd w:val="clear" w:color="auto" w:fill="auto"/>
                  <w:noWrap w:val="0"/>
                  <w:vAlign w:val="center"/>
                </w:tcPr>
                <w:p w14:paraId="377D983F">
                  <w:pPr>
                    <w:bidi w:val="0"/>
                    <w:spacing w:line="240" w:lineRule="auto"/>
                    <w:jc w:val="center"/>
                    <w:rPr>
                      <w:rFonts w:hint="default" w:ascii="Times New Roman" w:hAnsi="Times New Roman" w:eastAsia="宋体" w:cs="Times New Roman"/>
                      <w:b w:val="0"/>
                      <w:bCs w:val="0"/>
                      <w:color w:val="auto"/>
                      <w:kern w:val="2"/>
                      <w:sz w:val="21"/>
                      <w:szCs w:val="21"/>
                      <w:highlight w:val="none"/>
                      <w:lang w:val="en-US" w:eastAsia="zh-CN" w:bidi="ar-SA"/>
                    </w:rPr>
                  </w:pPr>
                  <w:r>
                    <w:rPr>
                      <w:rFonts w:hint="eastAsia" w:ascii="Times New Roman" w:hAnsi="Times New Roman" w:eastAsia="宋体" w:cs="Times New Roman"/>
                      <w:b w:val="0"/>
                      <w:bCs w:val="0"/>
                      <w:color w:val="auto"/>
                      <w:sz w:val="21"/>
                      <w:szCs w:val="21"/>
                      <w:highlight w:val="none"/>
                      <w:vertAlign w:val="baseline"/>
                      <w:lang w:val="en-US" w:eastAsia="zh-CN"/>
                    </w:rPr>
                    <w:t>氯化氢</w:t>
                  </w:r>
                </w:p>
              </w:tc>
              <w:tc>
                <w:tcPr>
                  <w:tcW w:w="1277" w:type="pct"/>
                  <w:gridSpan w:val="2"/>
                  <w:tcBorders>
                    <w:tl2br w:val="nil"/>
                    <w:tr2bl w:val="nil"/>
                  </w:tcBorders>
                  <w:shd w:val="clear" w:color="auto" w:fill="auto"/>
                  <w:noWrap w:val="0"/>
                  <w:vAlign w:val="center"/>
                </w:tcPr>
                <w:p w14:paraId="7F1B6A0B">
                  <w:pPr>
                    <w:bidi w:val="0"/>
                    <w:spacing w:line="240" w:lineRule="auto"/>
                    <w:jc w:val="center"/>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eastAsia" w:ascii="Times New Roman" w:hAnsi="Times New Roman" w:eastAsia="宋体" w:cs="Times New Roman"/>
                      <w:b w:val="0"/>
                      <w:bCs w:val="0"/>
                      <w:color w:val="auto"/>
                      <w:kern w:val="2"/>
                      <w:sz w:val="21"/>
                      <w:szCs w:val="21"/>
                      <w:highlight w:val="none"/>
                      <w:vertAlign w:val="baseline"/>
                      <w:lang w:val="en-US" w:eastAsia="zh-CN" w:bidi="ar-SA"/>
                    </w:rPr>
                    <w:t>非甲烷总烃</w:t>
                  </w:r>
                </w:p>
              </w:tc>
              <w:tc>
                <w:tcPr>
                  <w:tcW w:w="246" w:type="pct"/>
                  <w:vMerge w:val="restart"/>
                  <w:tcBorders>
                    <w:tl2br w:val="nil"/>
                    <w:tr2bl w:val="nil"/>
                  </w:tcBorders>
                  <w:shd w:val="clear" w:color="auto" w:fill="auto"/>
                  <w:noWrap w:val="0"/>
                  <w:vAlign w:val="center"/>
                </w:tcPr>
                <w:p w14:paraId="41E8F07F">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采样时间</w:t>
                  </w:r>
                </w:p>
              </w:tc>
              <w:tc>
                <w:tcPr>
                  <w:tcW w:w="1246" w:type="pct"/>
                  <w:gridSpan w:val="2"/>
                  <w:tcBorders>
                    <w:tl2br w:val="nil"/>
                    <w:tr2bl w:val="nil"/>
                  </w:tcBorders>
                  <w:shd w:val="clear" w:color="auto" w:fill="auto"/>
                  <w:noWrap w:val="0"/>
                  <w:vAlign w:val="center"/>
                </w:tcPr>
                <w:p w14:paraId="246412CB">
                  <w:pPr>
                    <w:bidi w:val="0"/>
                    <w:spacing w:line="240" w:lineRule="auto"/>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b w:val="0"/>
                      <w:bCs w:val="0"/>
                      <w:color w:val="auto"/>
                      <w:sz w:val="21"/>
                      <w:szCs w:val="21"/>
                      <w:highlight w:val="none"/>
                      <w:vertAlign w:val="baseline"/>
                      <w:lang w:val="en-US" w:eastAsia="zh-CN"/>
                    </w:rPr>
                    <w:t>甲醇</w:t>
                  </w:r>
                </w:p>
              </w:tc>
            </w:tr>
            <w:tr w14:paraId="32F8F73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253" w:type="pct"/>
                  <w:vMerge w:val="continue"/>
                  <w:tcBorders>
                    <w:tl2br w:val="nil"/>
                    <w:tr2bl w:val="nil"/>
                  </w:tcBorders>
                  <w:shd w:val="clear" w:color="auto" w:fill="auto"/>
                  <w:noWrap w:val="0"/>
                  <w:vAlign w:val="center"/>
                </w:tcPr>
                <w:p w14:paraId="0CF5B89E">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98" w:type="pct"/>
                  <w:vMerge w:val="continue"/>
                  <w:tcBorders>
                    <w:tl2br w:val="nil"/>
                    <w:tr2bl w:val="nil"/>
                  </w:tcBorders>
                  <w:shd w:val="clear" w:color="auto" w:fill="auto"/>
                  <w:noWrap w:val="0"/>
                  <w:vAlign w:val="center"/>
                </w:tcPr>
                <w:p w14:paraId="502A7DDE">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p>
              </w:tc>
              <w:tc>
                <w:tcPr>
                  <w:tcW w:w="739" w:type="pct"/>
                  <w:tcBorders>
                    <w:tl2br w:val="nil"/>
                    <w:tr2bl w:val="nil"/>
                  </w:tcBorders>
                  <w:shd w:val="clear" w:color="auto" w:fill="auto"/>
                  <w:noWrap w:val="0"/>
                  <w:vAlign w:val="center"/>
                </w:tcPr>
                <w:p w14:paraId="0DF3C05E">
                  <w:pPr>
                    <w:widowControl/>
                    <w:jc w:val="center"/>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排放浓度（mg/m</w:t>
                  </w:r>
                  <w:r>
                    <w:rPr>
                      <w:rFonts w:hint="default" w:ascii="Times New Roman" w:hAnsi="Times New Roman" w:eastAsia="宋体" w:cs="Times New Roman"/>
                      <w:b w:val="0"/>
                      <w:bCs w:val="0"/>
                      <w:color w:val="auto"/>
                      <w:sz w:val="21"/>
                      <w:szCs w:val="21"/>
                      <w:highlight w:val="none"/>
                      <w:vertAlign w:val="superscript"/>
                      <w:lang w:val="en-US" w:eastAsia="zh-CN"/>
                    </w:rPr>
                    <w:t>3</w:t>
                  </w:r>
                  <w:r>
                    <w:rPr>
                      <w:rFonts w:hint="default" w:ascii="Times New Roman" w:hAnsi="Times New Roman" w:eastAsia="宋体" w:cs="Times New Roman"/>
                      <w:b w:val="0"/>
                      <w:bCs w:val="0"/>
                      <w:color w:val="auto"/>
                      <w:sz w:val="21"/>
                      <w:szCs w:val="21"/>
                      <w:highlight w:val="none"/>
                      <w:vertAlign w:val="baseline"/>
                      <w:lang w:val="en-US" w:eastAsia="zh-CN"/>
                    </w:rPr>
                    <w:t>）</w:t>
                  </w:r>
                </w:p>
              </w:tc>
              <w:tc>
                <w:tcPr>
                  <w:tcW w:w="638" w:type="pct"/>
                  <w:tcBorders>
                    <w:tl2br w:val="nil"/>
                    <w:tr2bl w:val="nil"/>
                  </w:tcBorders>
                  <w:shd w:val="clear" w:color="auto" w:fill="auto"/>
                  <w:noWrap w:val="0"/>
                  <w:vAlign w:val="center"/>
                </w:tcPr>
                <w:p w14:paraId="21BDC618">
                  <w:pPr>
                    <w:widowControl/>
                    <w:jc w:val="center"/>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排放速率（kg/h）</w:t>
                  </w:r>
                </w:p>
              </w:tc>
              <w:tc>
                <w:tcPr>
                  <w:tcW w:w="638" w:type="pct"/>
                  <w:tcBorders>
                    <w:tl2br w:val="nil"/>
                    <w:tr2bl w:val="nil"/>
                  </w:tcBorders>
                  <w:shd w:val="clear" w:color="auto" w:fill="auto"/>
                  <w:noWrap w:val="0"/>
                  <w:vAlign w:val="center"/>
                </w:tcPr>
                <w:p w14:paraId="7BC9C5BB">
                  <w:pPr>
                    <w:widowControl/>
                    <w:jc w:val="center"/>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排放浓度（mg/m</w:t>
                  </w:r>
                  <w:r>
                    <w:rPr>
                      <w:rFonts w:hint="default" w:ascii="Times New Roman" w:hAnsi="Times New Roman" w:eastAsia="宋体" w:cs="Times New Roman"/>
                      <w:b w:val="0"/>
                      <w:bCs w:val="0"/>
                      <w:color w:val="auto"/>
                      <w:sz w:val="21"/>
                      <w:szCs w:val="21"/>
                      <w:highlight w:val="none"/>
                      <w:vertAlign w:val="superscript"/>
                      <w:lang w:val="en-US" w:eastAsia="zh-CN"/>
                    </w:rPr>
                    <w:t>3</w:t>
                  </w:r>
                  <w:r>
                    <w:rPr>
                      <w:rFonts w:hint="default" w:ascii="Times New Roman" w:hAnsi="Times New Roman" w:eastAsia="宋体" w:cs="Times New Roman"/>
                      <w:b w:val="0"/>
                      <w:bCs w:val="0"/>
                      <w:color w:val="auto"/>
                      <w:sz w:val="21"/>
                      <w:szCs w:val="21"/>
                      <w:highlight w:val="none"/>
                      <w:vertAlign w:val="baseline"/>
                      <w:lang w:val="en-US" w:eastAsia="zh-CN"/>
                    </w:rPr>
                    <w:t>）</w:t>
                  </w:r>
                </w:p>
              </w:tc>
              <w:tc>
                <w:tcPr>
                  <w:tcW w:w="638" w:type="pct"/>
                  <w:tcBorders>
                    <w:tl2br w:val="nil"/>
                    <w:tr2bl w:val="nil"/>
                  </w:tcBorders>
                  <w:shd w:val="clear" w:color="auto" w:fill="auto"/>
                  <w:noWrap w:val="0"/>
                  <w:vAlign w:val="center"/>
                </w:tcPr>
                <w:p w14:paraId="33A69C51">
                  <w:pPr>
                    <w:widowControl/>
                    <w:jc w:val="center"/>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排放速率（kg/h）</w:t>
                  </w:r>
                </w:p>
              </w:tc>
              <w:tc>
                <w:tcPr>
                  <w:tcW w:w="246" w:type="pct"/>
                  <w:vMerge w:val="continue"/>
                  <w:tcBorders>
                    <w:tl2br w:val="nil"/>
                    <w:tr2bl w:val="nil"/>
                  </w:tcBorders>
                  <w:shd w:val="clear" w:color="auto" w:fill="auto"/>
                  <w:noWrap w:val="0"/>
                  <w:vAlign w:val="center"/>
                </w:tcPr>
                <w:p w14:paraId="64DEE4E3">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p>
              </w:tc>
              <w:tc>
                <w:tcPr>
                  <w:tcW w:w="623" w:type="pct"/>
                  <w:tcBorders>
                    <w:tl2br w:val="nil"/>
                    <w:tr2bl w:val="nil"/>
                  </w:tcBorders>
                  <w:shd w:val="clear" w:color="auto" w:fill="auto"/>
                  <w:noWrap w:val="0"/>
                  <w:vAlign w:val="center"/>
                </w:tcPr>
                <w:p w14:paraId="28F26B98">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排放浓度（mg/m</w:t>
                  </w:r>
                  <w:r>
                    <w:rPr>
                      <w:rFonts w:hint="default" w:ascii="Times New Roman" w:hAnsi="Times New Roman" w:eastAsia="宋体" w:cs="Times New Roman"/>
                      <w:b w:val="0"/>
                      <w:bCs w:val="0"/>
                      <w:color w:val="auto"/>
                      <w:sz w:val="21"/>
                      <w:szCs w:val="21"/>
                      <w:highlight w:val="none"/>
                      <w:vertAlign w:val="superscript"/>
                      <w:lang w:val="en-US" w:eastAsia="zh-CN"/>
                    </w:rPr>
                    <w:t>3</w:t>
                  </w:r>
                  <w:r>
                    <w:rPr>
                      <w:rFonts w:hint="default" w:ascii="Times New Roman" w:hAnsi="Times New Roman" w:eastAsia="宋体" w:cs="Times New Roman"/>
                      <w:b w:val="0"/>
                      <w:bCs w:val="0"/>
                      <w:color w:val="auto"/>
                      <w:sz w:val="21"/>
                      <w:szCs w:val="21"/>
                      <w:highlight w:val="none"/>
                      <w:vertAlign w:val="baseline"/>
                      <w:lang w:val="en-US" w:eastAsia="zh-CN"/>
                    </w:rPr>
                    <w:t>）</w:t>
                  </w:r>
                </w:p>
              </w:tc>
              <w:tc>
                <w:tcPr>
                  <w:tcW w:w="623" w:type="pct"/>
                  <w:tcBorders>
                    <w:tl2br w:val="nil"/>
                    <w:tr2bl w:val="nil"/>
                  </w:tcBorders>
                  <w:shd w:val="clear" w:color="auto" w:fill="auto"/>
                  <w:noWrap w:val="0"/>
                  <w:vAlign w:val="center"/>
                </w:tcPr>
                <w:p w14:paraId="710DC6B2">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排放速率（kg/h）</w:t>
                  </w:r>
                </w:p>
              </w:tc>
            </w:tr>
            <w:tr w14:paraId="1594FE8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67" w:hRule="atLeast"/>
              </w:trPr>
              <w:tc>
                <w:tcPr>
                  <w:tcW w:w="253" w:type="pct"/>
                  <w:vMerge w:val="restart"/>
                  <w:tcBorders>
                    <w:tl2br w:val="nil"/>
                    <w:tr2bl w:val="nil"/>
                  </w:tcBorders>
                  <w:shd w:val="clear" w:color="auto" w:fill="auto"/>
                  <w:noWrap w:val="0"/>
                  <w:textDirection w:val="tbLrV"/>
                  <w:vAlign w:val="center"/>
                </w:tcPr>
                <w:p w14:paraId="2E4B7D17">
                  <w:pPr>
                    <w:keepNext w:val="0"/>
                    <w:keepLines w:val="0"/>
                    <w:pageBreakBefore w:val="0"/>
                    <w:widowControl w:val="0"/>
                    <w:kinsoku/>
                    <w:wordWrap/>
                    <w:overflowPunct/>
                    <w:topLinePunct w:val="0"/>
                    <w:autoSpaceDE/>
                    <w:autoSpaceDN/>
                    <w:bidi w:val="0"/>
                    <w:adjustRightInd/>
                    <w:snapToGrid w:val="0"/>
                    <w:ind w:left="113" w:right="113"/>
                    <w:jc w:val="center"/>
                    <w:textAlignment w:val="auto"/>
                    <w:rPr>
                      <w:rFonts w:hint="default" w:ascii="Times New Roman" w:hAnsi="Times New Roman" w:eastAsia="宋体" w:cs="Times New Roman"/>
                      <w:b w:val="0"/>
                      <w:bCs w:val="0"/>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2025.</w:t>
                  </w:r>
                  <w:r>
                    <w:rPr>
                      <w:rFonts w:hint="eastAsia" w:ascii="Times New Roman" w:hAnsi="Times New Roman" w:eastAsia="宋体" w:cs="Times New Roman"/>
                      <w:b w:val="0"/>
                      <w:bCs w:val="0"/>
                      <w:sz w:val="21"/>
                      <w:szCs w:val="21"/>
                      <w:highlight w:val="none"/>
                      <w:vertAlign w:val="baseline"/>
                      <w:lang w:val="en-US" w:eastAsia="zh-CN"/>
                    </w:rPr>
                    <w:t>9.20</w:t>
                  </w:r>
                </w:p>
              </w:tc>
              <w:tc>
                <w:tcPr>
                  <w:tcW w:w="598" w:type="pct"/>
                  <w:tcBorders>
                    <w:tl2br w:val="nil"/>
                    <w:tr2bl w:val="nil"/>
                  </w:tcBorders>
                  <w:shd w:val="clear" w:color="auto" w:fill="auto"/>
                  <w:noWrap w:val="0"/>
                  <w:vAlign w:val="center"/>
                </w:tcPr>
                <w:p w14:paraId="79DDD95D">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第一次</w:t>
                  </w:r>
                </w:p>
              </w:tc>
              <w:tc>
                <w:tcPr>
                  <w:tcW w:w="739" w:type="pct"/>
                  <w:tcBorders>
                    <w:tl2br w:val="nil"/>
                    <w:tr2bl w:val="nil"/>
                  </w:tcBorders>
                  <w:shd w:val="clear" w:color="auto" w:fill="auto"/>
                  <w:noWrap w:val="0"/>
                  <w:vAlign w:val="center"/>
                </w:tcPr>
                <w:p w14:paraId="13CABE3A">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b w:val="0"/>
                      <w:bCs w:val="0"/>
                      <w:color w:val="auto"/>
                      <w:sz w:val="21"/>
                      <w:szCs w:val="21"/>
                      <w:highlight w:val="none"/>
                      <w:vertAlign w:val="baseline"/>
                      <w:lang w:val="en-US" w:eastAsia="zh-CN"/>
                    </w:rPr>
                    <w:t>1.48</w:t>
                  </w:r>
                </w:p>
              </w:tc>
              <w:tc>
                <w:tcPr>
                  <w:tcW w:w="638" w:type="pct"/>
                  <w:tcBorders>
                    <w:tl2br w:val="nil"/>
                    <w:tr2bl w:val="nil"/>
                  </w:tcBorders>
                  <w:shd w:val="clear" w:color="auto" w:fill="auto"/>
                  <w:noWrap w:val="0"/>
                  <w:vAlign w:val="center"/>
                </w:tcPr>
                <w:p w14:paraId="5BE986E7">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color w:val="auto"/>
                      <w:sz w:val="21"/>
                      <w:szCs w:val="21"/>
                      <w:highlight w:val="none"/>
                      <w:lang w:val="en-US" w:eastAsia="zh-CN"/>
                    </w:rPr>
                    <w:t>4.93</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3</w:t>
                  </w:r>
                </w:p>
              </w:tc>
              <w:tc>
                <w:tcPr>
                  <w:tcW w:w="638" w:type="pct"/>
                  <w:tcBorders>
                    <w:tl2br w:val="nil"/>
                    <w:tr2bl w:val="nil"/>
                  </w:tcBorders>
                  <w:shd w:val="clear" w:color="auto" w:fill="auto"/>
                  <w:noWrap w:val="0"/>
                  <w:vAlign w:val="center"/>
                </w:tcPr>
                <w:p w14:paraId="468F16D2">
                  <w:pPr>
                    <w:jc w:val="center"/>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1.11</w:t>
                  </w:r>
                </w:p>
              </w:tc>
              <w:tc>
                <w:tcPr>
                  <w:tcW w:w="638" w:type="pct"/>
                  <w:tcBorders>
                    <w:tl2br w:val="nil"/>
                    <w:tr2bl w:val="nil"/>
                  </w:tcBorders>
                  <w:shd w:val="clear" w:color="auto" w:fill="auto"/>
                  <w:noWrap w:val="0"/>
                  <w:vAlign w:val="center"/>
                </w:tcPr>
                <w:p w14:paraId="72F9311E">
                  <w:pPr>
                    <w:jc w:val="center"/>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3.70</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3</w:t>
                  </w:r>
                </w:p>
              </w:tc>
              <w:tc>
                <w:tcPr>
                  <w:tcW w:w="246" w:type="pct"/>
                  <w:vMerge w:val="restart"/>
                  <w:tcBorders>
                    <w:tl2br w:val="nil"/>
                    <w:tr2bl w:val="nil"/>
                  </w:tcBorders>
                  <w:shd w:val="clear" w:color="auto" w:fill="auto"/>
                  <w:noWrap w:val="0"/>
                  <w:textDirection w:val="tbRlV"/>
                  <w:vAlign w:val="center"/>
                </w:tcPr>
                <w:p w14:paraId="6B268090">
                  <w:pPr>
                    <w:ind w:left="113" w:right="113"/>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b w:val="0"/>
                      <w:bCs w:val="0"/>
                      <w:sz w:val="21"/>
                      <w:szCs w:val="21"/>
                      <w:highlight w:val="none"/>
                      <w:vertAlign w:val="baseline"/>
                      <w:lang w:val="en-US" w:eastAsia="zh-CN"/>
                    </w:rPr>
                    <w:t>2025</w:t>
                  </w:r>
                  <w:r>
                    <w:rPr>
                      <w:rFonts w:hint="eastAsia" w:ascii="Times New Roman" w:hAnsi="Times New Roman" w:eastAsia="宋体" w:cs="Times New Roman"/>
                      <w:b w:val="0"/>
                      <w:bCs w:val="0"/>
                      <w:sz w:val="21"/>
                      <w:szCs w:val="21"/>
                      <w:highlight w:val="none"/>
                      <w:vertAlign w:val="baseline"/>
                      <w:lang w:val="en-US" w:eastAsia="zh-CN"/>
                    </w:rPr>
                    <w:t>.10.25</w:t>
                  </w:r>
                </w:p>
              </w:tc>
              <w:tc>
                <w:tcPr>
                  <w:tcW w:w="623" w:type="pct"/>
                  <w:tcBorders>
                    <w:tl2br w:val="nil"/>
                    <w:tr2bl w:val="nil"/>
                  </w:tcBorders>
                  <w:shd w:val="clear" w:color="auto" w:fill="auto"/>
                  <w:noWrap w:val="0"/>
                  <w:vAlign w:val="center"/>
                </w:tcPr>
                <w:p w14:paraId="5B6AD72E">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kern w:val="2"/>
                      <w:sz w:val="21"/>
                      <w:szCs w:val="21"/>
                      <w:highlight w:val="none"/>
                      <w:lang w:val="en-US" w:eastAsia="zh-CN" w:bidi="ar-SA"/>
                    </w:rPr>
                    <w:t>6.5</w:t>
                  </w:r>
                </w:p>
              </w:tc>
              <w:tc>
                <w:tcPr>
                  <w:tcW w:w="623" w:type="pct"/>
                  <w:tcBorders>
                    <w:tl2br w:val="nil"/>
                    <w:tr2bl w:val="nil"/>
                  </w:tcBorders>
                  <w:shd w:val="clear" w:color="auto" w:fill="auto"/>
                  <w:noWrap w:val="0"/>
                  <w:vAlign w:val="center"/>
                </w:tcPr>
                <w:p w14:paraId="1C7A2337">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kern w:val="2"/>
                      <w:sz w:val="21"/>
                      <w:szCs w:val="21"/>
                      <w:highlight w:val="none"/>
                      <w:lang w:val="en-US" w:eastAsia="zh-CN" w:bidi="ar-SA"/>
                    </w:rPr>
                    <w:t>2.00</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2</w:t>
                  </w:r>
                </w:p>
              </w:tc>
            </w:tr>
            <w:tr w14:paraId="79483B8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67" w:hRule="atLeast"/>
              </w:trPr>
              <w:tc>
                <w:tcPr>
                  <w:tcW w:w="253" w:type="pct"/>
                  <w:vMerge w:val="continue"/>
                  <w:tcBorders>
                    <w:tl2br w:val="nil"/>
                    <w:tr2bl w:val="nil"/>
                  </w:tcBorders>
                  <w:shd w:val="clear" w:color="auto" w:fill="auto"/>
                  <w:noWrap w:val="0"/>
                  <w:vAlign w:val="center"/>
                </w:tcPr>
                <w:p w14:paraId="78C60CAE">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98" w:type="pct"/>
                  <w:tcBorders>
                    <w:tl2br w:val="nil"/>
                    <w:tr2bl w:val="nil"/>
                  </w:tcBorders>
                  <w:shd w:val="clear" w:color="auto" w:fill="auto"/>
                  <w:noWrap w:val="0"/>
                  <w:vAlign w:val="center"/>
                </w:tcPr>
                <w:p w14:paraId="02C39FF6">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第二次</w:t>
                  </w:r>
                </w:p>
              </w:tc>
              <w:tc>
                <w:tcPr>
                  <w:tcW w:w="739" w:type="pct"/>
                  <w:tcBorders>
                    <w:tl2br w:val="nil"/>
                    <w:tr2bl w:val="nil"/>
                  </w:tcBorders>
                  <w:shd w:val="clear" w:color="auto" w:fill="auto"/>
                  <w:noWrap w:val="0"/>
                  <w:vAlign w:val="center"/>
                </w:tcPr>
                <w:p w14:paraId="252FA69D">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color w:val="000000"/>
                      <w:sz w:val="21"/>
                      <w:szCs w:val="21"/>
                      <w:highlight w:val="none"/>
                      <w:lang w:val="en-US" w:eastAsia="zh-CN"/>
                    </w:rPr>
                    <w:t>1.87</w:t>
                  </w:r>
                </w:p>
              </w:tc>
              <w:tc>
                <w:tcPr>
                  <w:tcW w:w="638" w:type="pct"/>
                  <w:tcBorders>
                    <w:tl2br w:val="nil"/>
                    <w:tr2bl w:val="nil"/>
                  </w:tcBorders>
                  <w:shd w:val="clear" w:color="auto" w:fill="auto"/>
                  <w:noWrap w:val="0"/>
                  <w:vAlign w:val="center"/>
                </w:tcPr>
                <w:p w14:paraId="566CDB13">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color w:val="auto"/>
                      <w:sz w:val="21"/>
                      <w:szCs w:val="21"/>
                      <w:highlight w:val="none"/>
                      <w:lang w:val="en-US" w:eastAsia="zh-CN"/>
                    </w:rPr>
                    <w:t>6.75</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3</w:t>
                  </w:r>
                </w:p>
              </w:tc>
              <w:tc>
                <w:tcPr>
                  <w:tcW w:w="638" w:type="pct"/>
                  <w:tcBorders>
                    <w:tl2br w:val="nil"/>
                    <w:tr2bl w:val="nil"/>
                  </w:tcBorders>
                  <w:shd w:val="clear" w:color="auto" w:fill="auto"/>
                  <w:noWrap w:val="0"/>
                  <w:vAlign w:val="center"/>
                </w:tcPr>
                <w:p w14:paraId="4106D95F">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kern w:val="2"/>
                      <w:sz w:val="21"/>
                      <w:szCs w:val="21"/>
                      <w:highlight w:val="none"/>
                      <w:lang w:val="en-US" w:eastAsia="zh-CN" w:bidi="ar-SA"/>
                    </w:rPr>
                    <w:t>1.02</w:t>
                  </w:r>
                </w:p>
              </w:tc>
              <w:tc>
                <w:tcPr>
                  <w:tcW w:w="638" w:type="pct"/>
                  <w:tcBorders>
                    <w:tl2br w:val="nil"/>
                    <w:tr2bl w:val="nil"/>
                  </w:tcBorders>
                  <w:shd w:val="clear" w:color="auto" w:fill="auto"/>
                  <w:noWrap w:val="0"/>
                  <w:vAlign w:val="center"/>
                </w:tcPr>
                <w:p w14:paraId="32001790">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3.36</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3</w:t>
                  </w:r>
                </w:p>
              </w:tc>
              <w:tc>
                <w:tcPr>
                  <w:tcW w:w="246" w:type="pct"/>
                  <w:vMerge w:val="continue"/>
                  <w:tcBorders>
                    <w:tl2br w:val="nil"/>
                    <w:tr2bl w:val="nil"/>
                  </w:tcBorders>
                  <w:shd w:val="clear" w:color="auto" w:fill="auto"/>
                  <w:noWrap w:val="0"/>
                  <w:vAlign w:val="center"/>
                </w:tcPr>
                <w:p w14:paraId="088541BB">
                  <w:pPr>
                    <w:jc w:val="center"/>
                    <w:rPr>
                      <w:rFonts w:hint="default" w:ascii="Times New Roman" w:hAnsi="Times New Roman" w:eastAsia="宋体" w:cs="Times New Roman"/>
                      <w:kern w:val="2"/>
                      <w:sz w:val="21"/>
                      <w:szCs w:val="21"/>
                      <w:highlight w:val="none"/>
                      <w:lang w:val="en-US" w:eastAsia="zh-CN" w:bidi="ar-SA"/>
                    </w:rPr>
                  </w:pPr>
                </w:p>
              </w:tc>
              <w:tc>
                <w:tcPr>
                  <w:tcW w:w="623" w:type="pct"/>
                  <w:tcBorders>
                    <w:tl2br w:val="nil"/>
                    <w:tr2bl w:val="nil"/>
                  </w:tcBorders>
                  <w:shd w:val="clear" w:color="auto" w:fill="auto"/>
                  <w:noWrap w:val="0"/>
                  <w:vAlign w:val="center"/>
                </w:tcPr>
                <w:p w14:paraId="00B90F8C">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kern w:val="2"/>
                      <w:sz w:val="21"/>
                      <w:szCs w:val="21"/>
                      <w:highlight w:val="none"/>
                      <w:lang w:val="en-US" w:eastAsia="zh-CN" w:bidi="ar-SA"/>
                    </w:rPr>
                    <w:t>6.1</w:t>
                  </w:r>
                </w:p>
              </w:tc>
              <w:tc>
                <w:tcPr>
                  <w:tcW w:w="623" w:type="pct"/>
                  <w:tcBorders>
                    <w:tl2br w:val="nil"/>
                    <w:tr2bl w:val="nil"/>
                  </w:tcBorders>
                  <w:shd w:val="clear" w:color="auto" w:fill="auto"/>
                  <w:noWrap w:val="0"/>
                  <w:vAlign w:val="center"/>
                </w:tcPr>
                <w:p w14:paraId="69DBF683">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1.89</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2</w:t>
                  </w:r>
                </w:p>
              </w:tc>
            </w:tr>
            <w:tr w14:paraId="3C312C4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67" w:hRule="atLeast"/>
              </w:trPr>
              <w:tc>
                <w:tcPr>
                  <w:tcW w:w="253" w:type="pct"/>
                  <w:vMerge w:val="continue"/>
                  <w:tcBorders>
                    <w:tl2br w:val="nil"/>
                    <w:tr2bl w:val="nil"/>
                  </w:tcBorders>
                  <w:shd w:val="clear" w:color="auto" w:fill="auto"/>
                  <w:noWrap w:val="0"/>
                  <w:vAlign w:val="center"/>
                </w:tcPr>
                <w:p w14:paraId="5B5C64B1">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98" w:type="pct"/>
                  <w:tcBorders>
                    <w:tl2br w:val="nil"/>
                    <w:tr2bl w:val="nil"/>
                  </w:tcBorders>
                  <w:shd w:val="clear" w:color="auto" w:fill="auto"/>
                  <w:noWrap w:val="0"/>
                  <w:vAlign w:val="center"/>
                </w:tcPr>
                <w:p w14:paraId="4E272061">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第三次</w:t>
                  </w:r>
                </w:p>
              </w:tc>
              <w:tc>
                <w:tcPr>
                  <w:tcW w:w="739" w:type="pct"/>
                  <w:tcBorders>
                    <w:tl2br w:val="nil"/>
                    <w:tr2bl w:val="nil"/>
                  </w:tcBorders>
                  <w:shd w:val="clear" w:color="auto" w:fill="auto"/>
                  <w:noWrap w:val="0"/>
                  <w:vAlign w:val="center"/>
                </w:tcPr>
                <w:p w14:paraId="68A38A25">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color w:val="000000"/>
                      <w:sz w:val="21"/>
                      <w:szCs w:val="21"/>
                      <w:highlight w:val="none"/>
                      <w:lang w:val="en-US" w:eastAsia="zh-CN"/>
                    </w:rPr>
                    <w:t>1.13</w:t>
                  </w:r>
                </w:p>
              </w:tc>
              <w:tc>
                <w:tcPr>
                  <w:tcW w:w="638" w:type="pct"/>
                  <w:tcBorders>
                    <w:tl2br w:val="nil"/>
                    <w:tr2bl w:val="nil"/>
                  </w:tcBorders>
                  <w:shd w:val="clear" w:color="auto" w:fill="auto"/>
                  <w:noWrap w:val="0"/>
                  <w:vAlign w:val="center"/>
                </w:tcPr>
                <w:p w14:paraId="0B9CCB96">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color w:val="auto"/>
                      <w:sz w:val="21"/>
                      <w:szCs w:val="21"/>
                      <w:highlight w:val="none"/>
                      <w:lang w:val="en-US" w:eastAsia="zh-CN"/>
                    </w:rPr>
                    <w:t>3.55</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3</w:t>
                  </w:r>
                </w:p>
              </w:tc>
              <w:tc>
                <w:tcPr>
                  <w:tcW w:w="638" w:type="pct"/>
                  <w:tcBorders>
                    <w:tl2br w:val="nil"/>
                    <w:tr2bl w:val="nil"/>
                  </w:tcBorders>
                  <w:shd w:val="clear" w:color="auto" w:fill="auto"/>
                  <w:noWrap w:val="0"/>
                  <w:vAlign w:val="center"/>
                </w:tcPr>
                <w:p w14:paraId="7512E3F1">
                  <w:pPr>
                    <w:widowControl/>
                    <w:jc w:val="center"/>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eastAsia" w:ascii="Times New Roman" w:hAnsi="Times New Roman" w:eastAsia="宋体" w:cs="Times New Roman"/>
                      <w:kern w:val="2"/>
                      <w:sz w:val="21"/>
                      <w:szCs w:val="21"/>
                      <w:highlight w:val="none"/>
                      <w:lang w:val="en-US" w:eastAsia="zh-CN" w:bidi="ar-SA"/>
                    </w:rPr>
                    <w:t>1.15</w:t>
                  </w:r>
                </w:p>
              </w:tc>
              <w:tc>
                <w:tcPr>
                  <w:tcW w:w="638" w:type="pct"/>
                  <w:tcBorders>
                    <w:tl2br w:val="nil"/>
                    <w:tr2bl w:val="nil"/>
                  </w:tcBorders>
                  <w:shd w:val="clear" w:color="auto" w:fill="auto"/>
                  <w:noWrap w:val="0"/>
                  <w:vAlign w:val="center"/>
                </w:tcPr>
                <w:p w14:paraId="2B3624CC">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3.61</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3</w:t>
                  </w:r>
                </w:p>
              </w:tc>
              <w:tc>
                <w:tcPr>
                  <w:tcW w:w="246" w:type="pct"/>
                  <w:vMerge w:val="continue"/>
                  <w:tcBorders>
                    <w:tl2br w:val="nil"/>
                    <w:tr2bl w:val="nil"/>
                  </w:tcBorders>
                  <w:shd w:val="clear" w:color="auto" w:fill="auto"/>
                  <w:noWrap w:val="0"/>
                  <w:vAlign w:val="center"/>
                </w:tcPr>
                <w:p w14:paraId="1B70623C">
                  <w:pPr>
                    <w:widowControl/>
                    <w:jc w:val="center"/>
                    <w:rPr>
                      <w:rFonts w:hint="default" w:ascii="Times New Roman" w:hAnsi="Times New Roman" w:eastAsia="宋体" w:cs="Times New Roman"/>
                      <w:b w:val="0"/>
                      <w:bCs w:val="0"/>
                      <w:color w:val="auto"/>
                      <w:kern w:val="2"/>
                      <w:sz w:val="21"/>
                      <w:szCs w:val="21"/>
                      <w:highlight w:val="none"/>
                      <w:vertAlign w:val="baseline"/>
                      <w:lang w:val="en-US" w:eastAsia="zh-CN" w:bidi="ar-SA"/>
                    </w:rPr>
                  </w:pPr>
                </w:p>
              </w:tc>
              <w:tc>
                <w:tcPr>
                  <w:tcW w:w="623" w:type="pct"/>
                  <w:tcBorders>
                    <w:tl2br w:val="nil"/>
                    <w:tr2bl w:val="nil"/>
                  </w:tcBorders>
                  <w:shd w:val="clear" w:color="auto" w:fill="auto"/>
                  <w:noWrap w:val="0"/>
                  <w:vAlign w:val="center"/>
                </w:tcPr>
                <w:p w14:paraId="326CE3EE">
                  <w:pPr>
                    <w:widowControl/>
                    <w:jc w:val="center"/>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eastAsia" w:ascii="Times New Roman" w:hAnsi="Times New Roman" w:eastAsia="宋体" w:cs="Times New Roman"/>
                      <w:b w:val="0"/>
                      <w:bCs w:val="0"/>
                      <w:color w:val="auto"/>
                      <w:kern w:val="2"/>
                      <w:sz w:val="21"/>
                      <w:szCs w:val="21"/>
                      <w:highlight w:val="none"/>
                      <w:vertAlign w:val="baseline"/>
                      <w:lang w:val="en-US" w:eastAsia="zh-CN" w:bidi="ar-SA"/>
                    </w:rPr>
                    <w:t>5.9</w:t>
                  </w:r>
                </w:p>
              </w:tc>
              <w:tc>
                <w:tcPr>
                  <w:tcW w:w="623" w:type="pct"/>
                  <w:tcBorders>
                    <w:tl2br w:val="nil"/>
                    <w:tr2bl w:val="nil"/>
                  </w:tcBorders>
                  <w:shd w:val="clear" w:color="auto" w:fill="auto"/>
                  <w:noWrap w:val="0"/>
                  <w:vAlign w:val="center"/>
                </w:tcPr>
                <w:p w14:paraId="40E6C8B9">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1.80</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2</w:t>
                  </w:r>
                </w:p>
              </w:tc>
            </w:tr>
            <w:tr w14:paraId="205BB14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253" w:type="pct"/>
                  <w:vMerge w:val="continue"/>
                  <w:tcBorders>
                    <w:tl2br w:val="nil"/>
                    <w:tr2bl w:val="nil"/>
                  </w:tcBorders>
                  <w:shd w:val="clear" w:color="auto" w:fill="auto"/>
                  <w:noWrap w:val="0"/>
                  <w:vAlign w:val="center"/>
                </w:tcPr>
                <w:p w14:paraId="6F69C5C5">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98" w:type="pct"/>
                  <w:tcBorders>
                    <w:tl2br w:val="nil"/>
                    <w:tr2bl w:val="nil"/>
                  </w:tcBorders>
                  <w:shd w:val="clear" w:color="auto" w:fill="auto"/>
                  <w:noWrap w:val="0"/>
                  <w:vAlign w:val="center"/>
                </w:tcPr>
                <w:p w14:paraId="338A57BF">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最大值</w:t>
                  </w:r>
                </w:p>
              </w:tc>
              <w:tc>
                <w:tcPr>
                  <w:tcW w:w="739" w:type="pct"/>
                  <w:tcBorders>
                    <w:tl2br w:val="nil"/>
                    <w:tr2bl w:val="nil"/>
                  </w:tcBorders>
                  <w:shd w:val="clear" w:color="auto" w:fill="auto"/>
                  <w:noWrap w:val="0"/>
                  <w:vAlign w:val="center"/>
                </w:tcPr>
                <w:p w14:paraId="297A39FF">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i w:val="0"/>
                      <w:iCs w:val="0"/>
                      <w:color w:val="000000"/>
                      <w:kern w:val="0"/>
                      <w:sz w:val="21"/>
                      <w:szCs w:val="21"/>
                      <w:highlight w:val="none"/>
                      <w:u w:val="none"/>
                      <w:lang w:val="en-US" w:eastAsia="zh-CN" w:bidi="ar"/>
                    </w:rPr>
                    <w:t>1.493</w:t>
                  </w:r>
                </w:p>
              </w:tc>
              <w:tc>
                <w:tcPr>
                  <w:tcW w:w="638" w:type="pct"/>
                  <w:tcBorders>
                    <w:tl2br w:val="nil"/>
                    <w:tr2bl w:val="nil"/>
                  </w:tcBorders>
                  <w:shd w:val="clear" w:color="auto" w:fill="auto"/>
                  <w:noWrap w:val="0"/>
                  <w:vAlign w:val="center"/>
                </w:tcPr>
                <w:p w14:paraId="21047D24">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i w:val="0"/>
                      <w:iCs w:val="0"/>
                      <w:color w:val="000000"/>
                      <w:kern w:val="0"/>
                      <w:sz w:val="21"/>
                      <w:szCs w:val="21"/>
                      <w:highlight w:val="none"/>
                      <w:u w:val="none"/>
                      <w:lang w:val="en-US" w:eastAsia="zh-CN" w:bidi="ar"/>
                    </w:rPr>
                    <w:t>5.0</w:t>
                  </w:r>
                  <w:r>
                    <w:rPr>
                      <w:rFonts w:hint="eastAsia" w:ascii="Times New Roman" w:hAnsi="Times New Roman" w:eastAsia="宋体" w:cs="Times New Roman"/>
                      <w:i w:val="0"/>
                      <w:iCs w:val="0"/>
                      <w:color w:val="000000"/>
                      <w:kern w:val="0"/>
                      <w:sz w:val="21"/>
                      <w:szCs w:val="21"/>
                      <w:highlight w:val="none"/>
                      <w:u w:val="none"/>
                      <w:lang w:val="en-US" w:eastAsia="zh-CN" w:bidi="ar"/>
                    </w:rPr>
                    <w:t>8</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3</w:t>
                  </w:r>
                </w:p>
              </w:tc>
              <w:tc>
                <w:tcPr>
                  <w:tcW w:w="638" w:type="pct"/>
                  <w:tcBorders>
                    <w:tl2br w:val="nil"/>
                    <w:tr2bl w:val="nil"/>
                  </w:tcBorders>
                  <w:shd w:val="clear" w:color="auto" w:fill="auto"/>
                  <w:noWrap w:val="0"/>
                  <w:vAlign w:val="center"/>
                </w:tcPr>
                <w:p w14:paraId="48B46AE1">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i w:val="0"/>
                      <w:iCs w:val="0"/>
                      <w:color w:val="000000"/>
                      <w:kern w:val="0"/>
                      <w:sz w:val="21"/>
                      <w:szCs w:val="21"/>
                      <w:highlight w:val="none"/>
                      <w:u w:val="none"/>
                      <w:lang w:val="en-US" w:eastAsia="zh-CN" w:bidi="ar"/>
                    </w:rPr>
                    <w:t>1.093</w:t>
                  </w:r>
                </w:p>
              </w:tc>
              <w:tc>
                <w:tcPr>
                  <w:tcW w:w="638" w:type="pct"/>
                  <w:tcBorders>
                    <w:tl2br w:val="nil"/>
                    <w:tr2bl w:val="nil"/>
                  </w:tcBorders>
                  <w:shd w:val="clear" w:color="auto" w:fill="auto"/>
                  <w:noWrap w:val="0"/>
                  <w:vAlign w:val="center"/>
                </w:tcPr>
                <w:p w14:paraId="4B4215AA">
                  <w:pPr>
                    <w:keepNext w:val="0"/>
                    <w:keepLines w:val="0"/>
                    <w:widowControl/>
                    <w:suppressLineNumbers w:val="0"/>
                    <w:jc w:val="center"/>
                    <w:textAlignment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i w:val="0"/>
                      <w:iCs w:val="0"/>
                      <w:color w:val="000000"/>
                      <w:kern w:val="0"/>
                      <w:sz w:val="21"/>
                      <w:szCs w:val="21"/>
                      <w:highlight w:val="none"/>
                      <w:u w:val="none"/>
                      <w:lang w:val="en-US" w:eastAsia="zh-CN" w:bidi="ar"/>
                    </w:rPr>
                    <w:t>3.5</w:t>
                  </w:r>
                  <w:r>
                    <w:rPr>
                      <w:rFonts w:hint="eastAsia" w:ascii="Times New Roman" w:hAnsi="Times New Roman" w:eastAsia="宋体" w:cs="Times New Roman"/>
                      <w:i w:val="0"/>
                      <w:iCs w:val="0"/>
                      <w:color w:val="000000"/>
                      <w:kern w:val="0"/>
                      <w:sz w:val="21"/>
                      <w:szCs w:val="21"/>
                      <w:highlight w:val="none"/>
                      <w:u w:val="none"/>
                      <w:lang w:val="en-US" w:eastAsia="zh-CN" w:bidi="ar"/>
                    </w:rPr>
                    <w:t>6</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3</w:t>
                  </w:r>
                </w:p>
              </w:tc>
              <w:tc>
                <w:tcPr>
                  <w:tcW w:w="246" w:type="pct"/>
                  <w:vMerge w:val="continue"/>
                  <w:tcBorders>
                    <w:tl2br w:val="nil"/>
                    <w:tr2bl w:val="nil"/>
                  </w:tcBorders>
                  <w:shd w:val="clear" w:color="auto" w:fill="auto"/>
                  <w:noWrap w:val="0"/>
                  <w:vAlign w:val="center"/>
                </w:tcPr>
                <w:p w14:paraId="23922A5B">
                  <w:pPr>
                    <w:jc w:val="center"/>
                    <w:rPr>
                      <w:rFonts w:hint="default" w:ascii="Times New Roman" w:hAnsi="Times New Roman" w:eastAsia="宋体" w:cs="Times New Roman"/>
                      <w:kern w:val="2"/>
                      <w:sz w:val="21"/>
                      <w:szCs w:val="21"/>
                      <w:highlight w:val="none"/>
                      <w:lang w:val="en-US" w:eastAsia="zh-CN" w:bidi="ar-SA"/>
                    </w:rPr>
                  </w:pPr>
                </w:p>
              </w:tc>
              <w:tc>
                <w:tcPr>
                  <w:tcW w:w="623" w:type="pct"/>
                  <w:tcBorders>
                    <w:tl2br w:val="nil"/>
                    <w:tr2bl w:val="nil"/>
                  </w:tcBorders>
                  <w:shd w:val="clear" w:color="auto" w:fill="auto"/>
                  <w:noWrap w:val="0"/>
                  <w:vAlign w:val="center"/>
                </w:tcPr>
                <w:p w14:paraId="4DFCC6CC">
                  <w:pPr>
                    <w:keepNext w:val="0"/>
                    <w:keepLines w:val="0"/>
                    <w:widowControl/>
                    <w:suppressLineNumbers w:val="0"/>
                    <w:jc w:val="center"/>
                    <w:textAlignment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i w:val="0"/>
                      <w:iCs w:val="0"/>
                      <w:color w:val="000000"/>
                      <w:kern w:val="0"/>
                      <w:sz w:val="21"/>
                      <w:szCs w:val="21"/>
                      <w:highlight w:val="none"/>
                      <w:u w:val="none"/>
                      <w:lang w:val="en-US" w:eastAsia="zh-CN" w:bidi="ar"/>
                    </w:rPr>
                    <w:t>6.16</w:t>
                  </w:r>
                  <w:r>
                    <w:rPr>
                      <w:rFonts w:hint="eastAsia" w:ascii="Times New Roman" w:hAnsi="Times New Roman" w:eastAsia="宋体" w:cs="Times New Roman"/>
                      <w:i w:val="0"/>
                      <w:iCs w:val="0"/>
                      <w:color w:val="000000"/>
                      <w:kern w:val="0"/>
                      <w:sz w:val="21"/>
                      <w:szCs w:val="21"/>
                      <w:highlight w:val="none"/>
                      <w:u w:val="none"/>
                      <w:lang w:val="en-US" w:eastAsia="zh-CN" w:bidi="ar"/>
                    </w:rPr>
                    <w:t>7</w:t>
                  </w:r>
                </w:p>
              </w:tc>
              <w:tc>
                <w:tcPr>
                  <w:tcW w:w="623" w:type="pct"/>
                  <w:tcBorders>
                    <w:tl2br w:val="nil"/>
                    <w:tr2bl w:val="nil"/>
                  </w:tcBorders>
                  <w:shd w:val="clear" w:color="auto" w:fill="auto"/>
                  <w:noWrap w:val="0"/>
                  <w:vAlign w:val="center"/>
                </w:tcPr>
                <w:p w14:paraId="09E0F221">
                  <w:pPr>
                    <w:keepNext w:val="0"/>
                    <w:keepLines w:val="0"/>
                    <w:widowControl/>
                    <w:suppressLineNumbers w:val="0"/>
                    <w:jc w:val="center"/>
                    <w:textAlignment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i w:val="0"/>
                      <w:iCs w:val="0"/>
                      <w:color w:val="000000"/>
                      <w:kern w:val="0"/>
                      <w:sz w:val="21"/>
                      <w:szCs w:val="21"/>
                      <w:highlight w:val="none"/>
                      <w:u w:val="none"/>
                      <w:lang w:val="en-US" w:eastAsia="zh-CN" w:bidi="ar"/>
                    </w:rPr>
                    <w:t>1.</w:t>
                  </w:r>
                  <w:r>
                    <w:rPr>
                      <w:rFonts w:hint="eastAsia" w:ascii="Times New Roman" w:hAnsi="Times New Roman" w:eastAsia="宋体" w:cs="Times New Roman"/>
                      <w:i w:val="0"/>
                      <w:iCs w:val="0"/>
                      <w:color w:val="000000"/>
                      <w:kern w:val="0"/>
                      <w:sz w:val="21"/>
                      <w:szCs w:val="21"/>
                      <w:highlight w:val="none"/>
                      <w:u w:val="none"/>
                      <w:lang w:val="en-US" w:eastAsia="zh-CN" w:bidi="ar"/>
                    </w:rPr>
                    <w:t>90</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2</w:t>
                  </w:r>
                </w:p>
              </w:tc>
            </w:tr>
            <w:tr w14:paraId="2BF5AB1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253" w:type="pct"/>
                  <w:vMerge w:val="restart"/>
                  <w:tcBorders>
                    <w:tl2br w:val="nil"/>
                    <w:tr2bl w:val="nil"/>
                  </w:tcBorders>
                  <w:shd w:val="clear" w:color="auto" w:fill="auto"/>
                  <w:noWrap w:val="0"/>
                  <w:textDirection w:val="tbLrV"/>
                  <w:vAlign w:val="center"/>
                </w:tcPr>
                <w:p w14:paraId="295481B9">
                  <w:pPr>
                    <w:keepNext w:val="0"/>
                    <w:keepLines w:val="0"/>
                    <w:pageBreakBefore w:val="0"/>
                    <w:widowControl w:val="0"/>
                    <w:kinsoku/>
                    <w:wordWrap/>
                    <w:overflowPunct/>
                    <w:topLinePunct w:val="0"/>
                    <w:autoSpaceDE/>
                    <w:autoSpaceDN/>
                    <w:bidi w:val="0"/>
                    <w:adjustRightInd/>
                    <w:snapToGrid w:val="0"/>
                    <w:ind w:left="113" w:right="113"/>
                    <w:jc w:val="center"/>
                    <w:textAlignment w:val="auto"/>
                    <w:rPr>
                      <w:rFonts w:hint="default" w:ascii="Times New Roman" w:hAnsi="Times New Roman" w:eastAsia="宋体" w:cs="Times New Roman"/>
                      <w:b w:val="0"/>
                      <w:bCs w:val="0"/>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2025.</w:t>
                  </w:r>
                  <w:r>
                    <w:rPr>
                      <w:rFonts w:hint="eastAsia" w:ascii="Times New Roman" w:hAnsi="Times New Roman" w:eastAsia="宋体" w:cs="Times New Roman"/>
                      <w:b w:val="0"/>
                      <w:bCs w:val="0"/>
                      <w:sz w:val="21"/>
                      <w:szCs w:val="21"/>
                      <w:highlight w:val="none"/>
                      <w:vertAlign w:val="baseline"/>
                      <w:lang w:val="en-US" w:eastAsia="zh-CN"/>
                    </w:rPr>
                    <w:t>9.21</w:t>
                  </w:r>
                </w:p>
              </w:tc>
              <w:tc>
                <w:tcPr>
                  <w:tcW w:w="598" w:type="pct"/>
                  <w:tcBorders>
                    <w:tl2br w:val="nil"/>
                    <w:tr2bl w:val="nil"/>
                  </w:tcBorders>
                  <w:shd w:val="clear" w:color="auto" w:fill="auto"/>
                  <w:noWrap w:val="0"/>
                  <w:vAlign w:val="center"/>
                </w:tcPr>
                <w:p w14:paraId="6BC93193">
                  <w:pPr>
                    <w:widowControl/>
                    <w:jc w:val="center"/>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第一次</w:t>
                  </w:r>
                </w:p>
              </w:tc>
              <w:tc>
                <w:tcPr>
                  <w:tcW w:w="739" w:type="pct"/>
                  <w:tcBorders>
                    <w:tl2br w:val="nil"/>
                    <w:tr2bl w:val="nil"/>
                  </w:tcBorders>
                  <w:shd w:val="clear" w:color="auto" w:fill="auto"/>
                  <w:noWrap w:val="0"/>
                  <w:vAlign w:val="center"/>
                </w:tcPr>
                <w:p w14:paraId="469AA12F">
                  <w:pPr>
                    <w:jc w:val="center"/>
                    <w:rPr>
                      <w:rFonts w:hint="default" w:ascii="Times New Roman" w:hAnsi="Times New Roman" w:eastAsia="宋体" w:cs="Times New Roman"/>
                      <w:color w:val="000000"/>
                      <w:kern w:val="2"/>
                      <w:sz w:val="21"/>
                      <w:szCs w:val="21"/>
                      <w:highlight w:val="none"/>
                      <w:lang w:val="en-US" w:eastAsia="zh-CN" w:bidi="ar-SA"/>
                    </w:rPr>
                  </w:pPr>
                  <w:r>
                    <w:rPr>
                      <w:rFonts w:hint="eastAsia" w:ascii="Times New Roman" w:hAnsi="Times New Roman" w:eastAsia="宋体" w:cs="Times New Roman"/>
                      <w:color w:val="000000"/>
                      <w:sz w:val="21"/>
                      <w:szCs w:val="21"/>
                      <w:highlight w:val="none"/>
                      <w:lang w:val="en-US" w:eastAsia="zh-CN"/>
                    </w:rPr>
                    <w:t>1.78</w:t>
                  </w:r>
                </w:p>
              </w:tc>
              <w:tc>
                <w:tcPr>
                  <w:tcW w:w="638" w:type="pct"/>
                  <w:tcBorders>
                    <w:tl2br w:val="nil"/>
                    <w:tr2bl w:val="nil"/>
                  </w:tcBorders>
                  <w:shd w:val="clear" w:color="auto" w:fill="auto"/>
                  <w:noWrap w:val="0"/>
                  <w:vAlign w:val="center"/>
                </w:tcPr>
                <w:p w14:paraId="11147228">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6.16</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3</w:t>
                  </w:r>
                </w:p>
              </w:tc>
              <w:tc>
                <w:tcPr>
                  <w:tcW w:w="638" w:type="pct"/>
                  <w:tcBorders>
                    <w:tl2br w:val="nil"/>
                    <w:tr2bl w:val="nil"/>
                  </w:tcBorders>
                  <w:shd w:val="clear" w:color="auto" w:fill="auto"/>
                  <w:noWrap w:val="0"/>
                  <w:vAlign w:val="center"/>
                </w:tcPr>
                <w:p w14:paraId="0B460397">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kern w:val="2"/>
                      <w:sz w:val="21"/>
                      <w:szCs w:val="21"/>
                      <w:highlight w:val="none"/>
                      <w:lang w:val="en-US" w:eastAsia="zh-CN" w:bidi="ar-SA"/>
                    </w:rPr>
                    <w:t>1.16</w:t>
                  </w:r>
                </w:p>
              </w:tc>
              <w:tc>
                <w:tcPr>
                  <w:tcW w:w="638" w:type="pct"/>
                  <w:tcBorders>
                    <w:tl2br w:val="nil"/>
                    <w:tr2bl w:val="nil"/>
                  </w:tcBorders>
                  <w:shd w:val="clear" w:color="auto" w:fill="auto"/>
                  <w:noWrap w:val="0"/>
                  <w:vAlign w:val="center"/>
                </w:tcPr>
                <w:p w14:paraId="3F43584A">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4.01</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3</w:t>
                  </w:r>
                </w:p>
              </w:tc>
              <w:tc>
                <w:tcPr>
                  <w:tcW w:w="246" w:type="pct"/>
                  <w:vMerge w:val="restart"/>
                  <w:tcBorders>
                    <w:tl2br w:val="nil"/>
                    <w:tr2bl w:val="nil"/>
                  </w:tcBorders>
                  <w:shd w:val="clear" w:color="auto" w:fill="auto"/>
                  <w:noWrap w:val="0"/>
                  <w:textDirection w:val="tbRlV"/>
                  <w:vAlign w:val="center"/>
                </w:tcPr>
                <w:p w14:paraId="686DE3B8">
                  <w:pPr>
                    <w:ind w:left="113" w:right="113"/>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b w:val="0"/>
                      <w:bCs w:val="0"/>
                      <w:sz w:val="21"/>
                      <w:szCs w:val="21"/>
                      <w:highlight w:val="none"/>
                      <w:vertAlign w:val="baseline"/>
                      <w:lang w:val="en-US" w:eastAsia="zh-CN"/>
                    </w:rPr>
                    <w:t>2025</w:t>
                  </w:r>
                  <w:r>
                    <w:rPr>
                      <w:rFonts w:hint="eastAsia" w:ascii="Times New Roman" w:hAnsi="Times New Roman" w:eastAsia="宋体" w:cs="Times New Roman"/>
                      <w:b w:val="0"/>
                      <w:bCs w:val="0"/>
                      <w:sz w:val="21"/>
                      <w:szCs w:val="21"/>
                      <w:highlight w:val="none"/>
                      <w:vertAlign w:val="baseline"/>
                      <w:lang w:val="en-US" w:eastAsia="zh-CN"/>
                    </w:rPr>
                    <w:t>.10.26</w:t>
                  </w:r>
                </w:p>
              </w:tc>
              <w:tc>
                <w:tcPr>
                  <w:tcW w:w="623" w:type="pct"/>
                  <w:tcBorders>
                    <w:tl2br w:val="nil"/>
                    <w:tr2bl w:val="nil"/>
                  </w:tcBorders>
                  <w:shd w:val="clear" w:color="auto" w:fill="auto"/>
                  <w:noWrap w:val="0"/>
                  <w:vAlign w:val="center"/>
                </w:tcPr>
                <w:p w14:paraId="0D4C46C3">
                  <w:pPr>
                    <w:keepNext w:val="0"/>
                    <w:keepLines w:val="0"/>
                    <w:widowControl/>
                    <w:suppressLineNumbers w:val="0"/>
                    <w:jc w:val="center"/>
                    <w:textAlignment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i w:val="0"/>
                      <w:iCs w:val="0"/>
                      <w:color w:val="000000"/>
                      <w:kern w:val="0"/>
                      <w:sz w:val="21"/>
                      <w:szCs w:val="21"/>
                      <w:highlight w:val="none"/>
                      <w:u w:val="none"/>
                      <w:lang w:val="en-US" w:eastAsia="zh-CN" w:bidi="ar"/>
                    </w:rPr>
                    <w:t>7.2</w:t>
                  </w:r>
                </w:p>
              </w:tc>
              <w:tc>
                <w:tcPr>
                  <w:tcW w:w="623" w:type="pct"/>
                  <w:tcBorders>
                    <w:tl2br w:val="nil"/>
                    <w:tr2bl w:val="nil"/>
                  </w:tcBorders>
                  <w:shd w:val="clear" w:color="auto" w:fill="auto"/>
                  <w:noWrap w:val="0"/>
                  <w:vAlign w:val="center"/>
                </w:tcPr>
                <w:p w14:paraId="3782D873">
                  <w:pPr>
                    <w:keepNext w:val="0"/>
                    <w:keepLines w:val="0"/>
                    <w:widowControl/>
                    <w:suppressLineNumbers w:val="0"/>
                    <w:jc w:val="center"/>
                    <w:textAlignment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i w:val="0"/>
                      <w:iCs w:val="0"/>
                      <w:color w:val="000000"/>
                      <w:kern w:val="0"/>
                      <w:sz w:val="21"/>
                      <w:szCs w:val="21"/>
                      <w:highlight w:val="none"/>
                      <w:u w:val="none"/>
                      <w:lang w:val="en-US" w:eastAsia="zh-CN" w:bidi="ar"/>
                    </w:rPr>
                    <w:t>2.15</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2</w:t>
                  </w:r>
                </w:p>
              </w:tc>
            </w:tr>
            <w:tr w14:paraId="466E34B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67" w:hRule="atLeast"/>
              </w:trPr>
              <w:tc>
                <w:tcPr>
                  <w:tcW w:w="253" w:type="pct"/>
                  <w:vMerge w:val="continue"/>
                  <w:tcBorders>
                    <w:tl2br w:val="nil"/>
                    <w:tr2bl w:val="nil"/>
                  </w:tcBorders>
                  <w:shd w:val="clear" w:color="auto" w:fill="auto"/>
                  <w:noWrap w:val="0"/>
                  <w:vAlign w:val="center"/>
                </w:tcPr>
                <w:p w14:paraId="68DF090C">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98" w:type="pct"/>
                  <w:tcBorders>
                    <w:tl2br w:val="nil"/>
                    <w:tr2bl w:val="nil"/>
                  </w:tcBorders>
                  <w:shd w:val="clear" w:color="auto" w:fill="auto"/>
                  <w:noWrap w:val="0"/>
                  <w:vAlign w:val="center"/>
                </w:tcPr>
                <w:p w14:paraId="1230F029">
                  <w:pPr>
                    <w:widowControl/>
                    <w:jc w:val="center"/>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第二次</w:t>
                  </w:r>
                </w:p>
              </w:tc>
              <w:tc>
                <w:tcPr>
                  <w:tcW w:w="739" w:type="pct"/>
                  <w:tcBorders>
                    <w:tl2br w:val="nil"/>
                    <w:tr2bl w:val="nil"/>
                  </w:tcBorders>
                  <w:shd w:val="clear" w:color="auto" w:fill="auto"/>
                  <w:noWrap w:val="0"/>
                  <w:vAlign w:val="center"/>
                </w:tcPr>
                <w:p w14:paraId="035706A4">
                  <w:pPr>
                    <w:jc w:val="center"/>
                    <w:rPr>
                      <w:rFonts w:hint="default" w:ascii="Times New Roman" w:hAnsi="Times New Roman" w:eastAsia="宋体" w:cs="Times New Roman"/>
                      <w:color w:val="000000"/>
                      <w:kern w:val="2"/>
                      <w:sz w:val="21"/>
                      <w:szCs w:val="21"/>
                      <w:highlight w:val="none"/>
                      <w:lang w:val="en-US" w:eastAsia="zh-CN" w:bidi="ar-SA"/>
                    </w:rPr>
                  </w:pPr>
                  <w:r>
                    <w:rPr>
                      <w:rFonts w:hint="eastAsia" w:ascii="Times New Roman" w:hAnsi="Times New Roman" w:eastAsia="宋体" w:cs="Times New Roman"/>
                      <w:color w:val="000000"/>
                      <w:kern w:val="2"/>
                      <w:sz w:val="21"/>
                      <w:szCs w:val="21"/>
                      <w:highlight w:val="none"/>
                      <w:lang w:val="en-US" w:eastAsia="zh-CN" w:bidi="ar-SA"/>
                    </w:rPr>
                    <w:t>1.86</w:t>
                  </w:r>
                </w:p>
              </w:tc>
              <w:tc>
                <w:tcPr>
                  <w:tcW w:w="638" w:type="pct"/>
                  <w:tcBorders>
                    <w:tl2br w:val="nil"/>
                    <w:tr2bl w:val="nil"/>
                  </w:tcBorders>
                  <w:shd w:val="clear" w:color="auto" w:fill="auto"/>
                  <w:noWrap w:val="0"/>
                  <w:vAlign w:val="center"/>
                </w:tcPr>
                <w:p w14:paraId="413499B2">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6.25</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3</w:t>
                  </w:r>
                </w:p>
              </w:tc>
              <w:tc>
                <w:tcPr>
                  <w:tcW w:w="638" w:type="pct"/>
                  <w:tcBorders>
                    <w:tl2br w:val="nil"/>
                    <w:tr2bl w:val="nil"/>
                  </w:tcBorders>
                  <w:shd w:val="clear" w:color="auto" w:fill="auto"/>
                  <w:noWrap w:val="0"/>
                  <w:vAlign w:val="center"/>
                </w:tcPr>
                <w:p w14:paraId="0B19B3FA">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kern w:val="2"/>
                      <w:sz w:val="21"/>
                      <w:szCs w:val="21"/>
                      <w:highlight w:val="none"/>
                      <w:lang w:val="en-US" w:eastAsia="zh-CN" w:bidi="ar-SA"/>
                    </w:rPr>
                    <w:t>1.06</w:t>
                  </w:r>
                </w:p>
              </w:tc>
              <w:tc>
                <w:tcPr>
                  <w:tcW w:w="638" w:type="pct"/>
                  <w:tcBorders>
                    <w:tl2br w:val="nil"/>
                    <w:tr2bl w:val="nil"/>
                  </w:tcBorders>
                  <w:shd w:val="clear" w:color="auto" w:fill="auto"/>
                  <w:noWrap w:val="0"/>
                  <w:vAlign w:val="center"/>
                </w:tcPr>
                <w:p w14:paraId="450749EE">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3.56</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3</w:t>
                  </w:r>
                </w:p>
              </w:tc>
              <w:tc>
                <w:tcPr>
                  <w:tcW w:w="246" w:type="pct"/>
                  <w:vMerge w:val="continue"/>
                  <w:tcBorders>
                    <w:tl2br w:val="nil"/>
                    <w:tr2bl w:val="nil"/>
                  </w:tcBorders>
                  <w:shd w:val="clear" w:color="auto" w:fill="auto"/>
                  <w:noWrap w:val="0"/>
                  <w:vAlign w:val="center"/>
                </w:tcPr>
                <w:p w14:paraId="6C5D5923">
                  <w:pPr>
                    <w:widowControl/>
                    <w:jc w:val="center"/>
                    <w:rPr>
                      <w:rFonts w:hint="default" w:ascii="Times New Roman" w:hAnsi="Times New Roman" w:eastAsia="宋体" w:cs="Times New Roman"/>
                      <w:b w:val="0"/>
                      <w:bCs w:val="0"/>
                      <w:color w:val="auto"/>
                      <w:kern w:val="2"/>
                      <w:sz w:val="21"/>
                      <w:szCs w:val="21"/>
                      <w:highlight w:val="none"/>
                      <w:vertAlign w:val="baseline"/>
                      <w:lang w:val="en-US" w:eastAsia="zh-CN" w:bidi="ar-SA"/>
                    </w:rPr>
                  </w:pPr>
                </w:p>
              </w:tc>
              <w:tc>
                <w:tcPr>
                  <w:tcW w:w="623" w:type="pct"/>
                  <w:tcBorders>
                    <w:tl2br w:val="nil"/>
                    <w:tr2bl w:val="nil"/>
                  </w:tcBorders>
                  <w:shd w:val="clear" w:color="auto" w:fill="auto"/>
                  <w:noWrap w:val="0"/>
                  <w:vAlign w:val="center"/>
                </w:tcPr>
                <w:p w14:paraId="3D61714E">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i w:val="0"/>
                      <w:iCs w:val="0"/>
                      <w:color w:val="000000"/>
                      <w:kern w:val="0"/>
                      <w:sz w:val="21"/>
                      <w:szCs w:val="21"/>
                      <w:highlight w:val="none"/>
                      <w:u w:val="none"/>
                      <w:lang w:val="en-US" w:eastAsia="zh-CN" w:bidi="ar"/>
                    </w:rPr>
                    <w:t>7.2</w:t>
                  </w:r>
                </w:p>
              </w:tc>
              <w:tc>
                <w:tcPr>
                  <w:tcW w:w="623" w:type="pct"/>
                  <w:tcBorders>
                    <w:tl2br w:val="nil"/>
                    <w:tr2bl w:val="nil"/>
                  </w:tcBorders>
                  <w:shd w:val="clear" w:color="auto" w:fill="auto"/>
                  <w:noWrap w:val="0"/>
                  <w:vAlign w:val="center"/>
                </w:tcPr>
                <w:p w14:paraId="051E4E7D">
                  <w:pPr>
                    <w:keepNext w:val="0"/>
                    <w:keepLines w:val="0"/>
                    <w:widowControl/>
                    <w:suppressLineNumbers w:val="0"/>
                    <w:jc w:val="center"/>
                    <w:textAlignment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i w:val="0"/>
                      <w:iCs w:val="0"/>
                      <w:color w:val="000000"/>
                      <w:kern w:val="0"/>
                      <w:sz w:val="21"/>
                      <w:szCs w:val="21"/>
                      <w:highlight w:val="none"/>
                      <w:u w:val="none"/>
                      <w:lang w:val="en-US" w:eastAsia="zh-CN" w:bidi="ar"/>
                    </w:rPr>
                    <w:t>1.97</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2</w:t>
                  </w:r>
                </w:p>
              </w:tc>
            </w:tr>
            <w:tr w14:paraId="08738DF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67" w:hRule="atLeast"/>
              </w:trPr>
              <w:tc>
                <w:tcPr>
                  <w:tcW w:w="253" w:type="pct"/>
                  <w:vMerge w:val="continue"/>
                  <w:tcBorders>
                    <w:tl2br w:val="nil"/>
                    <w:tr2bl w:val="nil"/>
                  </w:tcBorders>
                  <w:shd w:val="clear" w:color="auto" w:fill="auto"/>
                  <w:noWrap w:val="0"/>
                  <w:vAlign w:val="center"/>
                </w:tcPr>
                <w:p w14:paraId="3A247290">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98" w:type="pct"/>
                  <w:tcBorders>
                    <w:tl2br w:val="nil"/>
                    <w:tr2bl w:val="nil"/>
                  </w:tcBorders>
                  <w:shd w:val="clear" w:color="auto" w:fill="auto"/>
                  <w:noWrap w:val="0"/>
                  <w:vAlign w:val="center"/>
                </w:tcPr>
                <w:p w14:paraId="7CE8A6B3">
                  <w:pPr>
                    <w:widowControl/>
                    <w:jc w:val="center"/>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第三次</w:t>
                  </w:r>
                </w:p>
              </w:tc>
              <w:tc>
                <w:tcPr>
                  <w:tcW w:w="739" w:type="pct"/>
                  <w:tcBorders>
                    <w:tl2br w:val="nil"/>
                    <w:tr2bl w:val="nil"/>
                  </w:tcBorders>
                  <w:shd w:val="clear" w:color="auto" w:fill="auto"/>
                  <w:noWrap w:val="0"/>
                  <w:vAlign w:val="center"/>
                </w:tcPr>
                <w:p w14:paraId="7765C804">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b w:val="0"/>
                      <w:bCs w:val="0"/>
                      <w:color w:val="auto"/>
                      <w:sz w:val="21"/>
                      <w:szCs w:val="21"/>
                      <w:highlight w:val="none"/>
                      <w:vertAlign w:val="baseline"/>
                      <w:lang w:val="en-US" w:eastAsia="zh-CN"/>
                    </w:rPr>
                    <w:t>1.62</w:t>
                  </w:r>
                </w:p>
              </w:tc>
              <w:tc>
                <w:tcPr>
                  <w:tcW w:w="638" w:type="pct"/>
                  <w:tcBorders>
                    <w:tl2br w:val="nil"/>
                    <w:tr2bl w:val="nil"/>
                  </w:tcBorders>
                  <w:shd w:val="clear" w:color="auto" w:fill="auto"/>
                  <w:noWrap w:val="0"/>
                  <w:vAlign w:val="center"/>
                </w:tcPr>
                <w:p w14:paraId="09DA288C">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5.35</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3</w:t>
                  </w:r>
                </w:p>
              </w:tc>
              <w:tc>
                <w:tcPr>
                  <w:tcW w:w="638" w:type="pct"/>
                  <w:tcBorders>
                    <w:tl2br w:val="nil"/>
                    <w:tr2bl w:val="nil"/>
                  </w:tcBorders>
                  <w:shd w:val="clear" w:color="auto" w:fill="auto"/>
                  <w:noWrap w:val="0"/>
                  <w:vAlign w:val="center"/>
                </w:tcPr>
                <w:p w14:paraId="48A63894">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kern w:val="2"/>
                      <w:sz w:val="21"/>
                      <w:szCs w:val="21"/>
                      <w:highlight w:val="none"/>
                      <w:lang w:val="en-US" w:eastAsia="zh-CN" w:bidi="ar-SA"/>
                    </w:rPr>
                    <w:t>1.08</w:t>
                  </w:r>
                </w:p>
              </w:tc>
              <w:tc>
                <w:tcPr>
                  <w:tcW w:w="638" w:type="pct"/>
                  <w:tcBorders>
                    <w:tl2br w:val="nil"/>
                    <w:tr2bl w:val="nil"/>
                  </w:tcBorders>
                  <w:shd w:val="clear" w:color="auto" w:fill="auto"/>
                  <w:noWrap w:val="0"/>
                  <w:vAlign w:val="center"/>
                </w:tcPr>
                <w:p w14:paraId="512DA673">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3.56</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3</w:t>
                  </w:r>
                </w:p>
              </w:tc>
              <w:tc>
                <w:tcPr>
                  <w:tcW w:w="246" w:type="pct"/>
                  <w:vMerge w:val="continue"/>
                  <w:tcBorders>
                    <w:tl2br w:val="nil"/>
                    <w:tr2bl w:val="nil"/>
                  </w:tcBorders>
                  <w:shd w:val="clear" w:color="auto" w:fill="auto"/>
                  <w:noWrap w:val="0"/>
                  <w:vAlign w:val="center"/>
                </w:tcPr>
                <w:p w14:paraId="1D979F9E">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p>
              </w:tc>
              <w:tc>
                <w:tcPr>
                  <w:tcW w:w="623" w:type="pct"/>
                  <w:tcBorders>
                    <w:tl2br w:val="nil"/>
                    <w:tr2bl w:val="nil"/>
                  </w:tcBorders>
                  <w:shd w:val="clear" w:color="auto" w:fill="auto"/>
                  <w:noWrap w:val="0"/>
                  <w:vAlign w:val="center"/>
                </w:tcPr>
                <w:p w14:paraId="44F83EDB">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i w:val="0"/>
                      <w:iCs w:val="0"/>
                      <w:color w:val="000000"/>
                      <w:kern w:val="0"/>
                      <w:sz w:val="21"/>
                      <w:szCs w:val="21"/>
                      <w:highlight w:val="none"/>
                      <w:u w:val="none"/>
                      <w:lang w:val="en-US" w:eastAsia="zh-CN" w:bidi="ar"/>
                    </w:rPr>
                    <w:t>6.8</w:t>
                  </w:r>
                </w:p>
              </w:tc>
              <w:tc>
                <w:tcPr>
                  <w:tcW w:w="623" w:type="pct"/>
                  <w:tcBorders>
                    <w:tl2br w:val="nil"/>
                    <w:tr2bl w:val="nil"/>
                  </w:tcBorders>
                  <w:shd w:val="clear" w:color="auto" w:fill="auto"/>
                  <w:noWrap w:val="0"/>
                  <w:vAlign w:val="center"/>
                </w:tcPr>
                <w:p w14:paraId="49F48557">
                  <w:pPr>
                    <w:keepNext w:val="0"/>
                    <w:keepLines w:val="0"/>
                    <w:widowControl/>
                    <w:suppressLineNumbers w:val="0"/>
                    <w:jc w:val="center"/>
                    <w:textAlignment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i w:val="0"/>
                      <w:iCs w:val="0"/>
                      <w:color w:val="000000"/>
                      <w:kern w:val="0"/>
                      <w:sz w:val="21"/>
                      <w:szCs w:val="21"/>
                      <w:highlight w:val="none"/>
                      <w:u w:val="none"/>
                      <w:lang w:val="en-US" w:eastAsia="zh-CN" w:bidi="ar"/>
                    </w:rPr>
                    <w:t>1.99</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2</w:t>
                  </w:r>
                </w:p>
              </w:tc>
            </w:tr>
            <w:tr w14:paraId="00D4FCC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253" w:type="pct"/>
                  <w:vMerge w:val="continue"/>
                  <w:tcBorders>
                    <w:tl2br w:val="nil"/>
                    <w:tr2bl w:val="nil"/>
                  </w:tcBorders>
                  <w:shd w:val="clear" w:color="auto" w:fill="auto"/>
                  <w:noWrap w:val="0"/>
                  <w:vAlign w:val="center"/>
                </w:tcPr>
                <w:p w14:paraId="74EA201A">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98" w:type="pct"/>
                  <w:tcBorders>
                    <w:tl2br w:val="nil"/>
                    <w:tr2bl w:val="nil"/>
                  </w:tcBorders>
                  <w:shd w:val="clear" w:color="auto" w:fill="auto"/>
                  <w:noWrap w:val="0"/>
                  <w:vAlign w:val="center"/>
                </w:tcPr>
                <w:p w14:paraId="18B7A9BD">
                  <w:pPr>
                    <w:widowControl/>
                    <w:jc w:val="center"/>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最大值</w:t>
                  </w:r>
                </w:p>
              </w:tc>
              <w:tc>
                <w:tcPr>
                  <w:tcW w:w="739" w:type="pct"/>
                  <w:tcBorders>
                    <w:tl2br w:val="nil"/>
                    <w:tr2bl w:val="nil"/>
                  </w:tcBorders>
                  <w:shd w:val="clear" w:color="auto" w:fill="auto"/>
                  <w:noWrap w:val="0"/>
                  <w:vAlign w:val="center"/>
                </w:tcPr>
                <w:p w14:paraId="3F11D8E7">
                  <w:pPr>
                    <w:keepNext w:val="0"/>
                    <w:keepLines w:val="0"/>
                    <w:widowControl/>
                    <w:suppressLineNumbers w:val="0"/>
                    <w:jc w:val="center"/>
                    <w:textAlignment w:val="center"/>
                    <w:rPr>
                      <w:rFonts w:hint="default" w:ascii="Times New Roman" w:hAnsi="Times New Roman" w:eastAsia="宋体" w:cs="Times New Roman"/>
                      <w:color w:val="000000"/>
                      <w:kern w:val="2"/>
                      <w:sz w:val="21"/>
                      <w:szCs w:val="21"/>
                      <w:highlight w:val="none"/>
                      <w:lang w:val="en-US" w:eastAsia="zh-CN" w:bidi="ar-SA"/>
                    </w:rPr>
                  </w:pPr>
                  <w:r>
                    <w:rPr>
                      <w:rFonts w:hint="eastAsia" w:ascii="宋体" w:hAnsi="宋体" w:eastAsia="宋体" w:cs="宋体"/>
                      <w:i w:val="0"/>
                      <w:iCs w:val="0"/>
                      <w:color w:val="000000"/>
                      <w:kern w:val="0"/>
                      <w:sz w:val="22"/>
                      <w:szCs w:val="22"/>
                      <w:highlight w:val="none"/>
                      <w:u w:val="none"/>
                      <w:lang w:val="en-US" w:eastAsia="zh-CN" w:bidi="ar"/>
                    </w:rPr>
                    <w:t>1.753</w:t>
                  </w:r>
                </w:p>
              </w:tc>
              <w:tc>
                <w:tcPr>
                  <w:tcW w:w="638" w:type="pct"/>
                  <w:tcBorders>
                    <w:tl2br w:val="nil"/>
                    <w:tr2bl w:val="nil"/>
                  </w:tcBorders>
                  <w:shd w:val="clear" w:color="auto" w:fill="auto"/>
                  <w:noWrap w:val="0"/>
                  <w:vAlign w:val="center"/>
                </w:tcPr>
                <w:p w14:paraId="1ACDD6B7">
                  <w:pPr>
                    <w:keepNext w:val="0"/>
                    <w:keepLines w:val="0"/>
                    <w:widowControl/>
                    <w:suppressLineNumbers w:val="0"/>
                    <w:jc w:val="center"/>
                    <w:textAlignment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i w:val="0"/>
                      <w:iCs w:val="0"/>
                      <w:color w:val="000000"/>
                      <w:kern w:val="0"/>
                      <w:sz w:val="21"/>
                      <w:szCs w:val="21"/>
                      <w:highlight w:val="none"/>
                      <w:u w:val="none"/>
                      <w:lang w:val="en-US" w:eastAsia="zh-CN" w:bidi="ar"/>
                    </w:rPr>
                    <w:t>5.92</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3</w:t>
                  </w:r>
                </w:p>
              </w:tc>
              <w:tc>
                <w:tcPr>
                  <w:tcW w:w="638" w:type="pct"/>
                  <w:tcBorders>
                    <w:tl2br w:val="nil"/>
                    <w:tr2bl w:val="nil"/>
                  </w:tcBorders>
                  <w:shd w:val="clear" w:color="auto" w:fill="auto"/>
                  <w:noWrap w:val="0"/>
                  <w:vAlign w:val="center"/>
                </w:tcPr>
                <w:p w14:paraId="613746B4">
                  <w:pPr>
                    <w:keepNext w:val="0"/>
                    <w:keepLines w:val="0"/>
                    <w:widowControl/>
                    <w:suppressLineNumbers w:val="0"/>
                    <w:jc w:val="center"/>
                    <w:textAlignment w:val="center"/>
                    <w:rPr>
                      <w:rFonts w:hint="default" w:ascii="Times New Roman" w:hAnsi="Times New Roman" w:eastAsia="宋体" w:cs="Times New Roman"/>
                      <w:kern w:val="2"/>
                      <w:sz w:val="21"/>
                      <w:szCs w:val="21"/>
                      <w:highlight w:val="none"/>
                      <w:lang w:val="en-US" w:eastAsia="zh-CN" w:bidi="ar-SA"/>
                    </w:rPr>
                  </w:pPr>
                  <w:r>
                    <w:rPr>
                      <w:rFonts w:hint="eastAsia" w:ascii="宋体" w:hAnsi="宋体" w:eastAsia="宋体" w:cs="宋体"/>
                      <w:i w:val="0"/>
                      <w:iCs w:val="0"/>
                      <w:color w:val="000000"/>
                      <w:kern w:val="0"/>
                      <w:sz w:val="22"/>
                      <w:szCs w:val="22"/>
                      <w:highlight w:val="none"/>
                      <w:u w:val="none"/>
                      <w:lang w:val="en-US" w:eastAsia="zh-CN" w:bidi="ar"/>
                    </w:rPr>
                    <w:t>1.1</w:t>
                  </w:r>
                </w:p>
              </w:tc>
              <w:tc>
                <w:tcPr>
                  <w:tcW w:w="638" w:type="pct"/>
                  <w:tcBorders>
                    <w:tl2br w:val="nil"/>
                    <w:tr2bl w:val="nil"/>
                  </w:tcBorders>
                  <w:shd w:val="clear" w:color="auto" w:fill="auto"/>
                  <w:noWrap w:val="0"/>
                  <w:vAlign w:val="center"/>
                </w:tcPr>
                <w:p w14:paraId="20CD9982">
                  <w:pPr>
                    <w:keepNext w:val="0"/>
                    <w:keepLines w:val="0"/>
                    <w:widowControl/>
                    <w:suppressLineNumbers w:val="0"/>
                    <w:jc w:val="center"/>
                    <w:textAlignment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i w:val="0"/>
                      <w:iCs w:val="0"/>
                      <w:color w:val="000000"/>
                      <w:kern w:val="0"/>
                      <w:sz w:val="21"/>
                      <w:szCs w:val="21"/>
                      <w:highlight w:val="none"/>
                      <w:u w:val="none"/>
                      <w:lang w:val="en-US" w:eastAsia="zh-CN" w:bidi="ar"/>
                    </w:rPr>
                    <w:t>3.71</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3</w:t>
                  </w:r>
                </w:p>
              </w:tc>
              <w:tc>
                <w:tcPr>
                  <w:tcW w:w="246" w:type="pct"/>
                  <w:vMerge w:val="continue"/>
                  <w:tcBorders>
                    <w:tl2br w:val="nil"/>
                    <w:tr2bl w:val="nil"/>
                  </w:tcBorders>
                  <w:shd w:val="clear" w:color="auto" w:fill="auto"/>
                  <w:noWrap w:val="0"/>
                  <w:vAlign w:val="center"/>
                </w:tcPr>
                <w:p w14:paraId="5EAEC2E9">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p>
              </w:tc>
              <w:tc>
                <w:tcPr>
                  <w:tcW w:w="623" w:type="pct"/>
                  <w:tcBorders>
                    <w:tl2br w:val="nil"/>
                    <w:tr2bl w:val="nil"/>
                  </w:tcBorders>
                  <w:shd w:val="clear" w:color="auto" w:fill="auto"/>
                  <w:noWrap w:val="0"/>
                  <w:vAlign w:val="center"/>
                </w:tcPr>
                <w:p w14:paraId="6667D56B">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宋体" w:hAnsi="宋体" w:eastAsia="宋体" w:cs="宋体"/>
                      <w:i w:val="0"/>
                      <w:iCs w:val="0"/>
                      <w:color w:val="000000"/>
                      <w:kern w:val="0"/>
                      <w:sz w:val="22"/>
                      <w:szCs w:val="22"/>
                      <w:highlight w:val="none"/>
                      <w:u w:val="none"/>
                      <w:lang w:val="en-US" w:eastAsia="zh-CN" w:bidi="ar"/>
                    </w:rPr>
                    <w:t>7.067</w:t>
                  </w:r>
                </w:p>
              </w:tc>
              <w:tc>
                <w:tcPr>
                  <w:tcW w:w="623" w:type="pct"/>
                  <w:tcBorders>
                    <w:tl2br w:val="nil"/>
                    <w:tr2bl w:val="nil"/>
                  </w:tcBorders>
                  <w:shd w:val="clear" w:color="auto" w:fill="auto"/>
                  <w:noWrap w:val="0"/>
                  <w:vAlign w:val="center"/>
                </w:tcPr>
                <w:p w14:paraId="7BE1406A">
                  <w:pPr>
                    <w:keepNext w:val="0"/>
                    <w:keepLines w:val="0"/>
                    <w:widowControl/>
                    <w:suppressLineNumbers w:val="0"/>
                    <w:jc w:val="center"/>
                    <w:textAlignment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i w:val="0"/>
                      <w:iCs w:val="0"/>
                      <w:color w:val="000000"/>
                      <w:kern w:val="0"/>
                      <w:sz w:val="21"/>
                      <w:szCs w:val="21"/>
                      <w:highlight w:val="none"/>
                      <w:u w:val="none"/>
                      <w:lang w:val="en-US" w:eastAsia="zh-CN" w:bidi="ar"/>
                    </w:rPr>
                    <w:t>2.0</w:t>
                  </w:r>
                  <w:r>
                    <w:rPr>
                      <w:rFonts w:hint="eastAsia" w:ascii="Times New Roman" w:hAnsi="Times New Roman" w:eastAsia="宋体" w:cs="Times New Roman"/>
                      <w:i w:val="0"/>
                      <w:iCs w:val="0"/>
                      <w:color w:val="000000"/>
                      <w:kern w:val="0"/>
                      <w:sz w:val="21"/>
                      <w:szCs w:val="21"/>
                      <w:highlight w:val="none"/>
                      <w:u w:val="none"/>
                      <w:lang w:val="en-US" w:eastAsia="zh-CN" w:bidi="ar"/>
                    </w:rPr>
                    <w:t>4</w:t>
                  </w:r>
                  <w:r>
                    <w:rPr>
                      <w:rFonts w:hint="default" w:ascii="Times New Roman" w:hAnsi="Times New Roman" w:eastAsia="宋体" w:cs="Times New Roman"/>
                      <w:color w:val="auto"/>
                      <w:sz w:val="21"/>
                      <w:szCs w:val="21"/>
                      <w:highlight w:val="none"/>
                    </w:rPr>
                    <w:t>×10</w:t>
                  </w:r>
                  <w:r>
                    <w:rPr>
                      <w:rFonts w:hint="default" w:ascii="Times New Roman" w:hAnsi="Times New Roman" w:eastAsia="宋体" w:cs="Times New Roman"/>
                      <w:color w:val="auto"/>
                      <w:sz w:val="21"/>
                      <w:szCs w:val="21"/>
                      <w:highlight w:val="none"/>
                      <w:vertAlign w:val="superscript"/>
                      <w:lang w:val="en-US" w:eastAsia="zh-CN"/>
                    </w:rPr>
                    <w:t>-</w:t>
                  </w:r>
                  <w:r>
                    <w:rPr>
                      <w:rFonts w:hint="eastAsia" w:ascii="Times New Roman" w:hAnsi="Times New Roman" w:eastAsia="宋体" w:cs="Times New Roman"/>
                      <w:color w:val="auto"/>
                      <w:sz w:val="21"/>
                      <w:szCs w:val="21"/>
                      <w:highlight w:val="none"/>
                      <w:vertAlign w:val="superscript"/>
                      <w:lang w:val="en-US" w:eastAsia="zh-CN"/>
                    </w:rPr>
                    <w:t>2</w:t>
                  </w:r>
                </w:p>
              </w:tc>
            </w:tr>
            <w:tr w14:paraId="06E1681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087" w:hRule="atLeast"/>
              </w:trPr>
              <w:tc>
                <w:tcPr>
                  <w:tcW w:w="851" w:type="pct"/>
                  <w:gridSpan w:val="2"/>
                  <w:tcBorders>
                    <w:tl2br w:val="nil"/>
                    <w:tr2bl w:val="nil"/>
                  </w:tcBorders>
                  <w:shd w:val="clear" w:color="auto" w:fill="auto"/>
                  <w:noWrap w:val="0"/>
                  <w:vAlign w:val="center"/>
                </w:tcPr>
                <w:p w14:paraId="67E3531E">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宋体" w:cs="Times New Roman"/>
                      <w:b w:val="0"/>
                      <w:bCs/>
                      <w:color w:val="auto"/>
                      <w:kern w:val="2"/>
                      <w:sz w:val="21"/>
                      <w:szCs w:val="21"/>
                      <w:highlight w:val="none"/>
                      <w:u w:val="none"/>
                      <w:lang w:val="en-US" w:eastAsia="zh-CN" w:bidi="ar-SA"/>
                    </w:rPr>
                  </w:pPr>
                  <w:r>
                    <w:rPr>
                      <w:rFonts w:hint="default" w:ascii="Times New Roman" w:hAnsi="Times New Roman" w:eastAsia="宋体" w:cs="Times New Roman"/>
                      <w:b w:val="0"/>
                      <w:bCs w:val="0"/>
                      <w:sz w:val="21"/>
                      <w:szCs w:val="21"/>
                      <w:highlight w:val="none"/>
                      <w:vertAlign w:val="baseline"/>
                      <w:lang w:val="en-US" w:eastAsia="zh-CN"/>
                    </w:rPr>
                    <w:t>执行标准</w:t>
                  </w:r>
                  <w:r>
                    <w:rPr>
                      <w:rFonts w:hint="default" w:ascii="Times New Roman" w:hAnsi="Times New Roman" w:eastAsia="宋体" w:cs="Times New Roman"/>
                      <w:color w:val="auto"/>
                      <w:sz w:val="21"/>
                      <w:szCs w:val="21"/>
                      <w:highlight w:val="none"/>
                      <w:lang w:val="en-US" w:eastAsia="zh-CN"/>
                    </w:rPr>
                    <w:t>《大气污染物综合排放标准》（DB11/501-2017）“表3”</w:t>
                  </w:r>
                </w:p>
              </w:tc>
              <w:tc>
                <w:tcPr>
                  <w:tcW w:w="739" w:type="pct"/>
                  <w:tcBorders>
                    <w:tl2br w:val="nil"/>
                    <w:tr2bl w:val="nil"/>
                  </w:tcBorders>
                  <w:shd w:val="clear" w:color="auto" w:fill="auto"/>
                  <w:noWrap w:val="0"/>
                  <w:vAlign w:val="center"/>
                </w:tcPr>
                <w:p w14:paraId="72538018">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b w:val="0"/>
                      <w:bCs w:val="0"/>
                      <w:color w:val="auto"/>
                      <w:sz w:val="21"/>
                      <w:szCs w:val="21"/>
                      <w:highlight w:val="none"/>
                      <w:vertAlign w:val="baseline"/>
                      <w:lang w:val="en-US" w:eastAsia="zh-CN"/>
                    </w:rPr>
                    <w:t>10</w:t>
                  </w:r>
                </w:p>
              </w:tc>
              <w:tc>
                <w:tcPr>
                  <w:tcW w:w="638" w:type="pct"/>
                  <w:tcBorders>
                    <w:tl2br w:val="nil"/>
                    <w:tr2bl w:val="nil"/>
                  </w:tcBorders>
                  <w:shd w:val="clear" w:color="auto" w:fill="auto"/>
                  <w:noWrap w:val="0"/>
                  <w:vAlign w:val="center"/>
                </w:tcPr>
                <w:p w14:paraId="706D2238">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b w:val="0"/>
                      <w:bCs w:val="0"/>
                      <w:color w:val="auto"/>
                      <w:sz w:val="21"/>
                      <w:szCs w:val="21"/>
                      <w:highlight w:val="none"/>
                      <w:vertAlign w:val="baseline"/>
                      <w:lang w:val="en-US" w:eastAsia="zh-CN"/>
                    </w:rPr>
                    <w:t>0.018</w:t>
                  </w:r>
                </w:p>
              </w:tc>
              <w:tc>
                <w:tcPr>
                  <w:tcW w:w="638" w:type="pct"/>
                  <w:tcBorders>
                    <w:tl2br w:val="nil"/>
                    <w:tr2bl w:val="nil"/>
                  </w:tcBorders>
                  <w:shd w:val="clear" w:color="auto" w:fill="auto"/>
                  <w:noWrap w:val="0"/>
                  <w:vAlign w:val="center"/>
                </w:tcPr>
                <w:p w14:paraId="647ECFCB">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b w:val="0"/>
                      <w:bCs w:val="0"/>
                      <w:color w:val="auto"/>
                      <w:sz w:val="21"/>
                      <w:szCs w:val="21"/>
                      <w:highlight w:val="none"/>
                      <w:vertAlign w:val="baseline"/>
                      <w:lang w:val="en-US" w:eastAsia="zh-CN"/>
                    </w:rPr>
                    <w:t>50</w:t>
                  </w:r>
                </w:p>
              </w:tc>
              <w:tc>
                <w:tcPr>
                  <w:tcW w:w="638" w:type="pct"/>
                  <w:tcBorders>
                    <w:tl2br w:val="nil"/>
                    <w:tr2bl w:val="nil"/>
                  </w:tcBorders>
                  <w:shd w:val="clear" w:color="auto" w:fill="auto"/>
                  <w:noWrap w:val="0"/>
                  <w:vAlign w:val="center"/>
                </w:tcPr>
                <w:p w14:paraId="729421B0">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b w:val="0"/>
                      <w:bCs w:val="0"/>
                      <w:color w:val="auto"/>
                      <w:sz w:val="21"/>
                      <w:szCs w:val="21"/>
                      <w:highlight w:val="none"/>
                      <w:vertAlign w:val="baseline"/>
                      <w:lang w:val="en-US" w:eastAsia="zh-CN"/>
                    </w:rPr>
                    <w:t>1.8</w:t>
                  </w:r>
                </w:p>
              </w:tc>
              <w:tc>
                <w:tcPr>
                  <w:tcW w:w="246" w:type="pct"/>
                  <w:tcBorders>
                    <w:tl2br w:val="nil"/>
                    <w:tr2bl w:val="nil"/>
                  </w:tcBorders>
                  <w:shd w:val="clear" w:color="auto" w:fill="auto"/>
                  <w:noWrap w:val="0"/>
                  <w:vAlign w:val="center"/>
                </w:tcPr>
                <w:p w14:paraId="366E9712">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b w:val="0"/>
                      <w:bCs w:val="0"/>
                      <w:color w:val="auto"/>
                      <w:sz w:val="21"/>
                      <w:szCs w:val="21"/>
                      <w:highlight w:val="none"/>
                      <w:vertAlign w:val="baseline"/>
                      <w:lang w:val="en-US" w:eastAsia="zh-CN"/>
                    </w:rPr>
                    <w:t>/</w:t>
                  </w:r>
                </w:p>
              </w:tc>
              <w:tc>
                <w:tcPr>
                  <w:tcW w:w="623" w:type="pct"/>
                  <w:tcBorders>
                    <w:tl2br w:val="nil"/>
                    <w:tr2bl w:val="nil"/>
                  </w:tcBorders>
                  <w:shd w:val="clear" w:color="auto" w:fill="auto"/>
                  <w:noWrap w:val="0"/>
                  <w:vAlign w:val="center"/>
                </w:tcPr>
                <w:p w14:paraId="5E914C09">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b w:val="0"/>
                      <w:bCs w:val="0"/>
                      <w:color w:val="auto"/>
                      <w:sz w:val="21"/>
                      <w:szCs w:val="21"/>
                      <w:highlight w:val="none"/>
                      <w:vertAlign w:val="baseline"/>
                      <w:lang w:val="en-US" w:eastAsia="zh-CN"/>
                    </w:rPr>
                    <w:t>50</w:t>
                  </w:r>
                </w:p>
              </w:tc>
              <w:tc>
                <w:tcPr>
                  <w:tcW w:w="623" w:type="pct"/>
                  <w:tcBorders>
                    <w:tl2br w:val="nil"/>
                    <w:tr2bl w:val="nil"/>
                  </w:tcBorders>
                  <w:shd w:val="clear" w:color="auto" w:fill="auto"/>
                  <w:noWrap w:val="0"/>
                  <w:vAlign w:val="center"/>
                </w:tcPr>
                <w:p w14:paraId="1BC75F99">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b w:val="0"/>
                      <w:bCs w:val="0"/>
                      <w:color w:val="auto"/>
                      <w:sz w:val="21"/>
                      <w:szCs w:val="21"/>
                      <w:highlight w:val="none"/>
                      <w:vertAlign w:val="baseline"/>
                      <w:lang w:val="en-US" w:eastAsia="zh-CN"/>
                    </w:rPr>
                    <w:t>0.9</w:t>
                  </w:r>
                </w:p>
              </w:tc>
            </w:tr>
            <w:tr w14:paraId="359D1C3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6" w:hRule="atLeast"/>
              </w:trPr>
              <w:tc>
                <w:tcPr>
                  <w:tcW w:w="851" w:type="pct"/>
                  <w:gridSpan w:val="2"/>
                  <w:tcBorders>
                    <w:tl2br w:val="nil"/>
                    <w:tr2bl w:val="nil"/>
                  </w:tcBorders>
                  <w:shd w:val="clear" w:color="auto" w:fill="auto"/>
                  <w:noWrap w:val="0"/>
                  <w:vAlign w:val="center"/>
                </w:tcPr>
                <w:p w14:paraId="237F06DF">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达标情况</w:t>
                  </w:r>
                </w:p>
              </w:tc>
              <w:tc>
                <w:tcPr>
                  <w:tcW w:w="739" w:type="pct"/>
                  <w:tcBorders>
                    <w:tl2br w:val="nil"/>
                    <w:tr2bl w:val="nil"/>
                  </w:tcBorders>
                  <w:shd w:val="clear" w:color="auto" w:fill="auto"/>
                  <w:noWrap w:val="0"/>
                  <w:vAlign w:val="center"/>
                </w:tcPr>
                <w:p w14:paraId="12E17EF3">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达标</w:t>
                  </w:r>
                </w:p>
              </w:tc>
              <w:tc>
                <w:tcPr>
                  <w:tcW w:w="638" w:type="pct"/>
                  <w:tcBorders>
                    <w:tl2br w:val="nil"/>
                    <w:tr2bl w:val="nil"/>
                  </w:tcBorders>
                  <w:shd w:val="clear" w:color="auto" w:fill="auto"/>
                  <w:noWrap w:val="0"/>
                  <w:vAlign w:val="center"/>
                </w:tcPr>
                <w:p w14:paraId="4F4AD9EF">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达标</w:t>
                  </w:r>
                </w:p>
              </w:tc>
              <w:tc>
                <w:tcPr>
                  <w:tcW w:w="638" w:type="pct"/>
                  <w:tcBorders>
                    <w:tl2br w:val="nil"/>
                    <w:tr2bl w:val="nil"/>
                  </w:tcBorders>
                  <w:shd w:val="clear" w:color="auto" w:fill="auto"/>
                  <w:noWrap w:val="0"/>
                  <w:vAlign w:val="center"/>
                </w:tcPr>
                <w:p w14:paraId="17B02A15">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达标</w:t>
                  </w:r>
                </w:p>
              </w:tc>
              <w:tc>
                <w:tcPr>
                  <w:tcW w:w="638" w:type="pct"/>
                  <w:tcBorders>
                    <w:tl2br w:val="nil"/>
                    <w:tr2bl w:val="nil"/>
                  </w:tcBorders>
                  <w:shd w:val="clear" w:color="auto" w:fill="auto"/>
                  <w:noWrap w:val="0"/>
                  <w:vAlign w:val="center"/>
                </w:tcPr>
                <w:p w14:paraId="122752EC">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达标</w:t>
                  </w:r>
                </w:p>
              </w:tc>
              <w:tc>
                <w:tcPr>
                  <w:tcW w:w="246" w:type="pct"/>
                  <w:tcBorders>
                    <w:tl2br w:val="nil"/>
                    <w:tr2bl w:val="nil"/>
                  </w:tcBorders>
                  <w:shd w:val="clear" w:color="auto" w:fill="auto"/>
                  <w:noWrap w:val="0"/>
                  <w:vAlign w:val="center"/>
                </w:tcPr>
                <w:p w14:paraId="397D6053">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b w:val="0"/>
                      <w:bCs w:val="0"/>
                      <w:color w:val="auto"/>
                      <w:sz w:val="21"/>
                      <w:szCs w:val="21"/>
                      <w:highlight w:val="none"/>
                      <w:vertAlign w:val="baseline"/>
                      <w:lang w:val="en-US" w:eastAsia="zh-CN"/>
                    </w:rPr>
                    <w:t>/</w:t>
                  </w:r>
                </w:p>
              </w:tc>
              <w:tc>
                <w:tcPr>
                  <w:tcW w:w="623" w:type="pct"/>
                  <w:tcBorders>
                    <w:tl2br w:val="nil"/>
                    <w:tr2bl w:val="nil"/>
                  </w:tcBorders>
                  <w:shd w:val="clear" w:color="auto" w:fill="auto"/>
                  <w:noWrap w:val="0"/>
                  <w:vAlign w:val="center"/>
                </w:tcPr>
                <w:p w14:paraId="077D7772">
                  <w:pPr>
                    <w:widowControl/>
                    <w:jc w:val="center"/>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达标</w:t>
                  </w:r>
                </w:p>
              </w:tc>
              <w:tc>
                <w:tcPr>
                  <w:tcW w:w="623" w:type="pct"/>
                  <w:tcBorders>
                    <w:tl2br w:val="nil"/>
                    <w:tr2bl w:val="nil"/>
                  </w:tcBorders>
                  <w:shd w:val="clear" w:color="auto" w:fill="auto"/>
                  <w:noWrap w:val="0"/>
                  <w:vAlign w:val="center"/>
                </w:tcPr>
                <w:p w14:paraId="7FD82BF2">
                  <w:pPr>
                    <w:widowControl/>
                    <w:jc w:val="center"/>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达标</w:t>
                  </w:r>
                </w:p>
              </w:tc>
            </w:tr>
          </w:tbl>
          <w:p w14:paraId="314A695A">
            <w:pPr>
              <w:adjustRightInd w:val="0"/>
              <w:snapToGrid w:val="0"/>
              <w:jc w:val="both"/>
              <w:rPr>
                <w:rFonts w:hint="default" w:ascii="Times New Roman" w:hAnsi="Times New Roman" w:eastAsia="宋体" w:cs="Times New Roman"/>
                <w:b/>
                <w:sz w:val="24"/>
                <w:szCs w:val="24"/>
              </w:rPr>
            </w:pPr>
          </w:p>
          <w:p w14:paraId="26F839CF">
            <w:pPr>
              <w:adjustRightInd w:val="0"/>
              <w:snapToGrid w:val="0"/>
              <w:jc w:val="both"/>
              <w:rPr>
                <w:rFonts w:hint="default" w:ascii="Times New Roman" w:hAnsi="Times New Roman" w:eastAsia="宋体" w:cs="Times New Roman"/>
                <w:b/>
                <w:sz w:val="24"/>
                <w:szCs w:val="24"/>
              </w:rPr>
            </w:pPr>
          </w:p>
          <w:p w14:paraId="6FACFB0C">
            <w:pPr>
              <w:adjustRightInd w:val="0"/>
              <w:snapToGrid w:val="0"/>
              <w:jc w:val="both"/>
              <w:rPr>
                <w:rFonts w:hint="default" w:ascii="Times New Roman" w:hAnsi="Times New Roman" w:eastAsia="宋体" w:cs="Times New Roman"/>
                <w:b/>
                <w:sz w:val="24"/>
                <w:szCs w:val="24"/>
              </w:rPr>
            </w:pPr>
          </w:p>
          <w:p w14:paraId="3749879A">
            <w:pPr>
              <w:adjustRightInd w:val="0"/>
              <w:snapToGrid w:val="0"/>
              <w:jc w:val="both"/>
              <w:rPr>
                <w:rFonts w:hint="default" w:ascii="Times New Roman" w:hAnsi="Times New Roman" w:eastAsia="宋体" w:cs="Times New Roman"/>
                <w:b/>
                <w:sz w:val="24"/>
                <w:szCs w:val="24"/>
              </w:rPr>
            </w:pPr>
          </w:p>
          <w:p w14:paraId="566DF23E">
            <w:pPr>
              <w:adjustRightInd w:val="0"/>
              <w:snapToGrid w:val="0"/>
              <w:jc w:val="both"/>
              <w:rPr>
                <w:rFonts w:hint="default" w:ascii="Times New Roman" w:hAnsi="Times New Roman" w:eastAsia="宋体" w:cs="Times New Roman"/>
                <w:b/>
                <w:sz w:val="24"/>
                <w:szCs w:val="24"/>
              </w:rPr>
            </w:pPr>
          </w:p>
          <w:p w14:paraId="69DD6D09">
            <w:pPr>
              <w:adjustRightInd w:val="0"/>
              <w:snapToGrid w:val="0"/>
              <w:jc w:val="both"/>
              <w:rPr>
                <w:rFonts w:hint="default" w:ascii="Times New Roman" w:hAnsi="Times New Roman" w:eastAsia="宋体" w:cs="Times New Roman"/>
                <w:b/>
                <w:sz w:val="24"/>
                <w:szCs w:val="24"/>
              </w:rPr>
            </w:pPr>
          </w:p>
          <w:p w14:paraId="6F0C510D">
            <w:pPr>
              <w:adjustRightInd w:val="0"/>
              <w:snapToGrid w:val="0"/>
              <w:jc w:val="center"/>
              <w:rPr>
                <w:rFonts w:hint="default"/>
              </w:rPr>
            </w:pPr>
            <w:r>
              <w:rPr>
                <w:rFonts w:hint="default" w:ascii="Times New Roman" w:hAnsi="Times New Roman" w:eastAsia="宋体" w:cs="Times New Roman"/>
                <w:b/>
                <w:sz w:val="24"/>
                <w:szCs w:val="24"/>
              </w:rPr>
              <w:t>表7-</w:t>
            </w:r>
            <w:r>
              <w:rPr>
                <w:rFonts w:hint="eastAsia" w:ascii="Times New Roman" w:hAnsi="Times New Roman" w:eastAsia="宋体" w:cs="Times New Roman"/>
                <w:b/>
                <w:sz w:val="24"/>
                <w:szCs w:val="24"/>
                <w:lang w:val="en-US" w:eastAsia="zh-CN"/>
              </w:rPr>
              <w:t xml:space="preserve">2 </w:t>
            </w:r>
            <w:r>
              <w:rPr>
                <w:rFonts w:hint="default" w:ascii="Times New Roman" w:hAnsi="Times New Roman" w:eastAsia="宋体" w:cs="Times New Roman"/>
                <w:b/>
                <w:sz w:val="24"/>
                <w:szCs w:val="24"/>
                <w:lang w:val="en-US" w:eastAsia="zh-CN"/>
              </w:rPr>
              <w:t>厂界</w:t>
            </w:r>
            <w:r>
              <w:rPr>
                <w:rFonts w:hint="default" w:ascii="Times New Roman" w:hAnsi="Times New Roman" w:eastAsia="宋体" w:cs="Times New Roman"/>
                <w:b/>
                <w:sz w:val="24"/>
                <w:szCs w:val="24"/>
              </w:rPr>
              <w:t>无组织废气</w:t>
            </w:r>
            <w:r>
              <w:rPr>
                <w:rFonts w:hint="eastAsia" w:ascii="Times New Roman" w:hAnsi="Times New Roman" w:eastAsia="宋体" w:cs="Times New Roman"/>
                <w:b/>
                <w:sz w:val="24"/>
                <w:szCs w:val="24"/>
                <w:lang w:val="en-US" w:eastAsia="zh-CN"/>
              </w:rPr>
              <w:t>检测</w:t>
            </w:r>
            <w:r>
              <w:rPr>
                <w:rFonts w:hint="default" w:ascii="Times New Roman" w:hAnsi="Times New Roman" w:eastAsia="宋体" w:cs="Times New Roman"/>
                <w:b/>
                <w:sz w:val="24"/>
                <w:szCs w:val="24"/>
              </w:rPr>
              <w:t>结果</w:t>
            </w:r>
          </w:p>
          <w:tbl>
            <w:tblPr>
              <w:tblStyle w:val="30"/>
              <w:tblW w:w="9296"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137"/>
              <w:gridCol w:w="984"/>
              <w:gridCol w:w="1194"/>
              <w:gridCol w:w="1194"/>
              <w:gridCol w:w="1198"/>
              <w:gridCol w:w="1194"/>
              <w:gridCol w:w="1194"/>
              <w:gridCol w:w="1201"/>
            </w:tblGrid>
            <w:tr w14:paraId="1E31D52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11" w:type="pct"/>
                  <w:vMerge w:val="restart"/>
                  <w:tcBorders>
                    <w:tl2br w:val="nil"/>
                    <w:tr2bl w:val="nil"/>
                  </w:tcBorders>
                  <w:noWrap w:val="0"/>
                  <w:vAlign w:val="center"/>
                </w:tcPr>
                <w:p w14:paraId="5AA0DF61">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r>
                    <w:rPr>
                      <w:rFonts w:hint="eastAsia" w:ascii="Times New Roman" w:hAnsi="Times New Roman" w:eastAsia="宋体" w:cs="Times New Roman"/>
                      <w:b w:val="0"/>
                      <w:bCs w:val="0"/>
                      <w:sz w:val="21"/>
                      <w:szCs w:val="21"/>
                      <w:highlight w:val="none"/>
                      <w:vertAlign w:val="baseline"/>
                      <w:lang w:val="en-US" w:eastAsia="zh-CN"/>
                    </w:rPr>
                    <w:t>检测项目</w:t>
                  </w:r>
                </w:p>
              </w:tc>
              <w:tc>
                <w:tcPr>
                  <w:tcW w:w="529" w:type="pct"/>
                  <w:vMerge w:val="restart"/>
                  <w:tcBorders>
                    <w:tl2br w:val="nil"/>
                    <w:tr2bl w:val="nil"/>
                  </w:tcBorders>
                  <w:noWrap w:val="0"/>
                  <w:vAlign w:val="center"/>
                </w:tcPr>
                <w:p w14:paraId="2AF871FD">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检测点位</w:t>
                  </w:r>
                </w:p>
              </w:tc>
              <w:tc>
                <w:tcPr>
                  <w:tcW w:w="1928" w:type="pct"/>
                  <w:gridSpan w:val="3"/>
                  <w:tcBorders>
                    <w:tl2br w:val="nil"/>
                    <w:tr2bl w:val="nil"/>
                  </w:tcBorders>
                  <w:noWrap w:val="0"/>
                  <w:vAlign w:val="center"/>
                </w:tcPr>
                <w:p w14:paraId="658415F3">
                  <w:pPr>
                    <w:keepNext w:val="0"/>
                    <w:keepLines w:val="0"/>
                    <w:pageBreakBefore w:val="0"/>
                    <w:kinsoku/>
                    <w:wordWrap/>
                    <w:overflowPunct/>
                    <w:topLinePunct w:val="0"/>
                    <w:autoSpaceDE/>
                    <w:autoSpaceDN/>
                    <w:bidi w:val="0"/>
                    <w:spacing w:line="240" w:lineRule="auto"/>
                    <w:ind w:left="-105" w:leftChars="-50" w:right="-105" w:rightChars="-50"/>
                    <w:jc w:val="center"/>
                    <w:textAlignment w:val="auto"/>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kern w:val="2"/>
                      <w:sz w:val="21"/>
                      <w:szCs w:val="21"/>
                      <w:highlight w:val="none"/>
                      <w:lang w:val="en-US" w:eastAsia="zh-CN" w:bidi="ar-SA"/>
                    </w:rPr>
                    <w:t>2025.</w:t>
                  </w:r>
                  <w:r>
                    <w:rPr>
                      <w:rFonts w:hint="eastAsia" w:ascii="Times New Roman" w:hAnsi="Times New Roman" w:eastAsia="宋体" w:cs="Times New Roman"/>
                      <w:b w:val="0"/>
                      <w:bCs w:val="0"/>
                      <w:color w:val="auto"/>
                      <w:kern w:val="2"/>
                      <w:sz w:val="21"/>
                      <w:szCs w:val="21"/>
                      <w:highlight w:val="none"/>
                      <w:lang w:val="en-US" w:eastAsia="zh-CN" w:bidi="ar-SA"/>
                    </w:rPr>
                    <w:t>9</w:t>
                  </w:r>
                  <w:r>
                    <w:rPr>
                      <w:rFonts w:hint="default" w:ascii="Times New Roman" w:hAnsi="Times New Roman" w:eastAsia="宋体" w:cs="Times New Roman"/>
                      <w:b w:val="0"/>
                      <w:bCs w:val="0"/>
                      <w:color w:val="auto"/>
                      <w:kern w:val="2"/>
                      <w:sz w:val="21"/>
                      <w:szCs w:val="21"/>
                      <w:highlight w:val="none"/>
                      <w:lang w:val="en-US" w:eastAsia="zh-CN" w:bidi="ar-SA"/>
                    </w:rPr>
                    <w:t>.2</w:t>
                  </w:r>
                  <w:r>
                    <w:rPr>
                      <w:rFonts w:hint="eastAsia" w:ascii="Times New Roman" w:hAnsi="Times New Roman" w:eastAsia="宋体" w:cs="Times New Roman"/>
                      <w:b w:val="0"/>
                      <w:bCs w:val="0"/>
                      <w:color w:val="auto"/>
                      <w:kern w:val="2"/>
                      <w:sz w:val="21"/>
                      <w:szCs w:val="21"/>
                      <w:highlight w:val="none"/>
                      <w:lang w:val="en-US" w:eastAsia="zh-CN" w:bidi="ar-SA"/>
                    </w:rPr>
                    <w:t>0</w:t>
                  </w:r>
                </w:p>
              </w:tc>
              <w:tc>
                <w:tcPr>
                  <w:tcW w:w="1930" w:type="pct"/>
                  <w:gridSpan w:val="3"/>
                  <w:tcBorders>
                    <w:tl2br w:val="nil"/>
                    <w:tr2bl w:val="nil"/>
                  </w:tcBorders>
                  <w:noWrap w:val="0"/>
                  <w:vAlign w:val="center"/>
                </w:tcPr>
                <w:p w14:paraId="20B77154">
                  <w:pPr>
                    <w:keepNext w:val="0"/>
                    <w:keepLines w:val="0"/>
                    <w:pageBreakBefore w:val="0"/>
                    <w:kinsoku/>
                    <w:wordWrap/>
                    <w:overflowPunct/>
                    <w:topLinePunct w:val="0"/>
                    <w:autoSpaceDE/>
                    <w:autoSpaceDN/>
                    <w:bidi w:val="0"/>
                    <w:spacing w:line="240" w:lineRule="auto"/>
                    <w:ind w:left="-105" w:leftChars="-50"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kern w:val="2"/>
                      <w:sz w:val="21"/>
                      <w:szCs w:val="21"/>
                      <w:highlight w:val="none"/>
                      <w:lang w:val="en-US" w:eastAsia="zh-CN" w:bidi="ar-SA"/>
                    </w:rPr>
                    <w:t>2025.</w:t>
                  </w:r>
                  <w:r>
                    <w:rPr>
                      <w:rFonts w:hint="eastAsia" w:ascii="Times New Roman" w:hAnsi="Times New Roman" w:eastAsia="宋体" w:cs="Times New Roman"/>
                      <w:b w:val="0"/>
                      <w:bCs w:val="0"/>
                      <w:color w:val="auto"/>
                      <w:kern w:val="2"/>
                      <w:sz w:val="21"/>
                      <w:szCs w:val="21"/>
                      <w:highlight w:val="none"/>
                      <w:lang w:val="en-US" w:eastAsia="zh-CN" w:bidi="ar-SA"/>
                    </w:rPr>
                    <w:t>9</w:t>
                  </w:r>
                  <w:r>
                    <w:rPr>
                      <w:rFonts w:hint="default" w:ascii="Times New Roman" w:hAnsi="Times New Roman" w:eastAsia="宋体" w:cs="Times New Roman"/>
                      <w:b w:val="0"/>
                      <w:bCs w:val="0"/>
                      <w:color w:val="auto"/>
                      <w:kern w:val="2"/>
                      <w:sz w:val="21"/>
                      <w:szCs w:val="21"/>
                      <w:highlight w:val="none"/>
                      <w:lang w:val="en-US" w:eastAsia="zh-CN" w:bidi="ar-SA"/>
                    </w:rPr>
                    <w:t>.2</w:t>
                  </w:r>
                  <w:r>
                    <w:rPr>
                      <w:rFonts w:hint="eastAsia" w:ascii="Times New Roman" w:hAnsi="Times New Roman" w:eastAsia="宋体" w:cs="Times New Roman"/>
                      <w:b w:val="0"/>
                      <w:bCs w:val="0"/>
                      <w:color w:val="auto"/>
                      <w:kern w:val="2"/>
                      <w:sz w:val="21"/>
                      <w:szCs w:val="21"/>
                      <w:highlight w:val="none"/>
                      <w:lang w:val="en-US" w:eastAsia="zh-CN" w:bidi="ar-SA"/>
                    </w:rPr>
                    <w:t>1</w:t>
                  </w:r>
                </w:p>
              </w:tc>
            </w:tr>
            <w:tr w14:paraId="22C93B1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11" w:type="pct"/>
                  <w:vMerge w:val="continue"/>
                  <w:tcBorders>
                    <w:tl2br w:val="nil"/>
                    <w:tr2bl w:val="nil"/>
                  </w:tcBorders>
                  <w:noWrap w:val="0"/>
                  <w:vAlign w:val="center"/>
                </w:tcPr>
                <w:p w14:paraId="7EF69F6A">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29" w:type="pct"/>
                  <w:vMerge w:val="continue"/>
                  <w:tcBorders>
                    <w:tl2br w:val="nil"/>
                    <w:tr2bl w:val="nil"/>
                  </w:tcBorders>
                  <w:noWrap w:val="0"/>
                  <w:vAlign w:val="center"/>
                </w:tcPr>
                <w:p w14:paraId="25F95F23">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p>
              </w:tc>
              <w:tc>
                <w:tcPr>
                  <w:tcW w:w="642" w:type="pct"/>
                  <w:tcBorders>
                    <w:tl2br w:val="nil"/>
                    <w:tr2bl w:val="nil"/>
                  </w:tcBorders>
                  <w:noWrap w:val="0"/>
                  <w:vAlign w:val="center"/>
                </w:tcPr>
                <w:p w14:paraId="1F92CD8C">
                  <w:pPr>
                    <w:keepNext w:val="0"/>
                    <w:keepLines w:val="0"/>
                    <w:pageBreakBefore w:val="0"/>
                    <w:kinsoku/>
                    <w:wordWrap/>
                    <w:overflowPunct/>
                    <w:topLinePunct w:val="0"/>
                    <w:autoSpaceDE/>
                    <w:autoSpaceDN/>
                    <w:bidi w:val="0"/>
                    <w:spacing w:line="240" w:lineRule="auto"/>
                    <w:ind w:left="-105" w:leftChars="-50"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第一次</w:t>
                  </w:r>
                </w:p>
              </w:tc>
              <w:tc>
                <w:tcPr>
                  <w:tcW w:w="642" w:type="pct"/>
                  <w:tcBorders>
                    <w:tl2br w:val="nil"/>
                    <w:tr2bl w:val="nil"/>
                  </w:tcBorders>
                  <w:noWrap w:val="0"/>
                  <w:vAlign w:val="center"/>
                </w:tcPr>
                <w:p w14:paraId="7538F36B">
                  <w:pPr>
                    <w:keepNext w:val="0"/>
                    <w:keepLines w:val="0"/>
                    <w:pageBreakBefore w:val="0"/>
                    <w:kinsoku/>
                    <w:wordWrap/>
                    <w:overflowPunct/>
                    <w:topLinePunct w:val="0"/>
                    <w:autoSpaceDE/>
                    <w:autoSpaceDN/>
                    <w:bidi w:val="0"/>
                    <w:spacing w:line="240" w:lineRule="auto"/>
                    <w:ind w:left="-105" w:leftChars="-50"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第二次</w:t>
                  </w:r>
                </w:p>
              </w:tc>
              <w:tc>
                <w:tcPr>
                  <w:tcW w:w="644" w:type="pct"/>
                  <w:tcBorders>
                    <w:tl2br w:val="nil"/>
                    <w:tr2bl w:val="nil"/>
                  </w:tcBorders>
                  <w:noWrap w:val="0"/>
                  <w:vAlign w:val="center"/>
                </w:tcPr>
                <w:p w14:paraId="3C2C8DBC">
                  <w:pPr>
                    <w:keepNext w:val="0"/>
                    <w:keepLines w:val="0"/>
                    <w:pageBreakBefore w:val="0"/>
                    <w:kinsoku/>
                    <w:wordWrap/>
                    <w:overflowPunct/>
                    <w:topLinePunct w:val="0"/>
                    <w:autoSpaceDE/>
                    <w:autoSpaceDN/>
                    <w:bidi w:val="0"/>
                    <w:spacing w:line="240" w:lineRule="auto"/>
                    <w:ind w:left="-105" w:leftChars="-50"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第三次</w:t>
                  </w:r>
                </w:p>
              </w:tc>
              <w:tc>
                <w:tcPr>
                  <w:tcW w:w="642" w:type="pct"/>
                  <w:tcBorders>
                    <w:tl2br w:val="nil"/>
                    <w:tr2bl w:val="nil"/>
                  </w:tcBorders>
                  <w:shd w:val="clear" w:color="auto" w:fill="auto"/>
                  <w:noWrap w:val="0"/>
                  <w:vAlign w:val="center"/>
                </w:tcPr>
                <w:p w14:paraId="733871A6">
                  <w:pPr>
                    <w:keepNext w:val="0"/>
                    <w:keepLines w:val="0"/>
                    <w:pageBreakBefore w:val="0"/>
                    <w:kinsoku/>
                    <w:wordWrap/>
                    <w:overflowPunct/>
                    <w:topLinePunct w:val="0"/>
                    <w:autoSpaceDE/>
                    <w:autoSpaceDN/>
                    <w:bidi w:val="0"/>
                    <w:spacing w:line="240" w:lineRule="auto"/>
                    <w:ind w:left="-105" w:leftChars="-50" w:right="-105" w:rightChars="-5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第一次</w:t>
                  </w:r>
                </w:p>
              </w:tc>
              <w:tc>
                <w:tcPr>
                  <w:tcW w:w="642" w:type="pct"/>
                  <w:tcBorders>
                    <w:tl2br w:val="nil"/>
                    <w:tr2bl w:val="nil"/>
                  </w:tcBorders>
                  <w:shd w:val="clear" w:color="auto" w:fill="auto"/>
                  <w:noWrap w:val="0"/>
                  <w:vAlign w:val="center"/>
                </w:tcPr>
                <w:p w14:paraId="434E1115">
                  <w:pPr>
                    <w:keepNext w:val="0"/>
                    <w:keepLines w:val="0"/>
                    <w:pageBreakBefore w:val="0"/>
                    <w:kinsoku/>
                    <w:wordWrap/>
                    <w:overflowPunct/>
                    <w:topLinePunct w:val="0"/>
                    <w:autoSpaceDE/>
                    <w:autoSpaceDN/>
                    <w:bidi w:val="0"/>
                    <w:spacing w:line="240" w:lineRule="auto"/>
                    <w:ind w:left="-105" w:leftChars="-50" w:right="-105" w:rightChars="-5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第二次</w:t>
                  </w:r>
                </w:p>
              </w:tc>
              <w:tc>
                <w:tcPr>
                  <w:tcW w:w="645" w:type="pct"/>
                  <w:tcBorders>
                    <w:tl2br w:val="nil"/>
                    <w:tr2bl w:val="nil"/>
                  </w:tcBorders>
                  <w:shd w:val="clear" w:color="auto" w:fill="auto"/>
                  <w:noWrap w:val="0"/>
                  <w:vAlign w:val="center"/>
                </w:tcPr>
                <w:p w14:paraId="0400A85E">
                  <w:pPr>
                    <w:keepNext w:val="0"/>
                    <w:keepLines w:val="0"/>
                    <w:pageBreakBefore w:val="0"/>
                    <w:kinsoku/>
                    <w:wordWrap/>
                    <w:overflowPunct/>
                    <w:topLinePunct w:val="0"/>
                    <w:autoSpaceDE/>
                    <w:autoSpaceDN/>
                    <w:bidi w:val="0"/>
                    <w:spacing w:line="240" w:lineRule="auto"/>
                    <w:ind w:left="-105" w:leftChars="-50" w:right="-105" w:rightChars="-5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第三次</w:t>
                  </w:r>
                </w:p>
              </w:tc>
            </w:tr>
            <w:tr w14:paraId="62F7EB7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1" w:type="pct"/>
                  <w:vMerge w:val="restart"/>
                  <w:tcBorders>
                    <w:tl2br w:val="nil"/>
                    <w:tr2bl w:val="nil"/>
                  </w:tcBorders>
                  <w:noWrap w:val="0"/>
                  <w:vAlign w:val="center"/>
                </w:tcPr>
                <w:p w14:paraId="05A18C2B">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r>
                    <w:rPr>
                      <w:rFonts w:hint="eastAsia" w:ascii="Times New Roman" w:hAnsi="Times New Roman" w:eastAsia="宋体" w:cs="Times New Roman"/>
                      <w:b w:val="0"/>
                      <w:bCs w:val="0"/>
                      <w:color w:val="auto"/>
                      <w:sz w:val="21"/>
                      <w:szCs w:val="21"/>
                      <w:highlight w:val="none"/>
                      <w:vertAlign w:val="baseline"/>
                      <w:lang w:val="en-US" w:eastAsia="zh-CN"/>
                    </w:rPr>
                    <w:t>氯化氢</w:t>
                  </w:r>
                  <w:r>
                    <w:rPr>
                      <w:rFonts w:hint="default" w:ascii="Times New Roman" w:hAnsi="Times New Roman" w:eastAsia="宋体" w:cs="Times New Roman"/>
                      <w:b w:val="0"/>
                      <w:bCs w:val="0"/>
                      <w:color w:val="auto"/>
                      <w:sz w:val="21"/>
                      <w:szCs w:val="21"/>
                      <w:highlight w:val="none"/>
                      <w:vertAlign w:val="baseline"/>
                      <w:lang w:val="en-US" w:eastAsia="zh-CN"/>
                    </w:rPr>
                    <w:t>（mg/m</w:t>
                  </w:r>
                  <w:r>
                    <w:rPr>
                      <w:rFonts w:hint="default" w:ascii="Times New Roman" w:hAnsi="Times New Roman" w:eastAsia="宋体" w:cs="Times New Roman"/>
                      <w:b w:val="0"/>
                      <w:bCs w:val="0"/>
                      <w:color w:val="auto"/>
                      <w:sz w:val="21"/>
                      <w:szCs w:val="21"/>
                      <w:highlight w:val="none"/>
                      <w:vertAlign w:val="superscript"/>
                      <w:lang w:val="en-US" w:eastAsia="zh-CN"/>
                    </w:rPr>
                    <w:t>3</w:t>
                  </w:r>
                  <w:r>
                    <w:rPr>
                      <w:rFonts w:hint="default" w:ascii="Times New Roman" w:hAnsi="Times New Roman" w:eastAsia="宋体" w:cs="Times New Roman"/>
                      <w:b w:val="0"/>
                      <w:bCs w:val="0"/>
                      <w:color w:val="auto"/>
                      <w:sz w:val="21"/>
                      <w:szCs w:val="21"/>
                      <w:highlight w:val="none"/>
                      <w:vertAlign w:val="baseline"/>
                      <w:lang w:val="en-US" w:eastAsia="zh-CN"/>
                    </w:rPr>
                    <w:t>）</w:t>
                  </w:r>
                </w:p>
              </w:tc>
              <w:tc>
                <w:tcPr>
                  <w:tcW w:w="529" w:type="pct"/>
                  <w:tcBorders>
                    <w:tl2br w:val="nil"/>
                    <w:tr2bl w:val="nil"/>
                  </w:tcBorders>
                  <w:noWrap w:val="0"/>
                  <w:vAlign w:val="center"/>
                </w:tcPr>
                <w:p w14:paraId="2171BAA4">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1#上风向</w:t>
                  </w:r>
                </w:p>
              </w:tc>
              <w:tc>
                <w:tcPr>
                  <w:tcW w:w="642" w:type="pct"/>
                  <w:tcBorders>
                    <w:tl2br w:val="nil"/>
                    <w:tr2bl w:val="nil"/>
                  </w:tcBorders>
                  <w:shd w:val="clear" w:color="auto" w:fill="auto"/>
                  <w:noWrap w:val="0"/>
                  <w:vAlign w:val="center"/>
                </w:tcPr>
                <w:p w14:paraId="5DF1D56A">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2" w:type="pct"/>
                  <w:tcBorders>
                    <w:tl2br w:val="nil"/>
                    <w:tr2bl w:val="nil"/>
                  </w:tcBorders>
                  <w:shd w:val="clear" w:color="auto" w:fill="auto"/>
                  <w:noWrap w:val="0"/>
                  <w:vAlign w:val="center"/>
                </w:tcPr>
                <w:p w14:paraId="500938D5">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4" w:type="pct"/>
                  <w:tcBorders>
                    <w:tl2br w:val="nil"/>
                    <w:tr2bl w:val="nil"/>
                  </w:tcBorders>
                  <w:shd w:val="clear" w:color="auto" w:fill="auto"/>
                  <w:noWrap w:val="0"/>
                  <w:vAlign w:val="center"/>
                </w:tcPr>
                <w:p w14:paraId="2D67A4E8">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2" w:type="pct"/>
                  <w:tcBorders>
                    <w:tl2br w:val="nil"/>
                    <w:tr2bl w:val="nil"/>
                  </w:tcBorders>
                  <w:shd w:val="clear" w:color="auto" w:fill="auto"/>
                  <w:noWrap w:val="0"/>
                  <w:vAlign w:val="center"/>
                </w:tcPr>
                <w:p w14:paraId="228EC874">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2" w:type="pct"/>
                  <w:tcBorders>
                    <w:tl2br w:val="nil"/>
                    <w:tr2bl w:val="nil"/>
                  </w:tcBorders>
                  <w:shd w:val="clear" w:color="auto" w:fill="auto"/>
                  <w:noWrap w:val="0"/>
                  <w:vAlign w:val="center"/>
                </w:tcPr>
                <w:p w14:paraId="17939801">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5" w:type="pct"/>
                  <w:tcBorders>
                    <w:tl2br w:val="nil"/>
                    <w:tr2bl w:val="nil"/>
                  </w:tcBorders>
                  <w:shd w:val="clear" w:color="auto" w:fill="auto"/>
                  <w:noWrap w:val="0"/>
                  <w:vAlign w:val="center"/>
                </w:tcPr>
                <w:p w14:paraId="3D4EF0C7">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r>
            <w:tr w14:paraId="25535DA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1" w:type="pct"/>
                  <w:vMerge w:val="continue"/>
                  <w:tcBorders>
                    <w:tl2br w:val="nil"/>
                    <w:tr2bl w:val="nil"/>
                  </w:tcBorders>
                  <w:noWrap w:val="0"/>
                  <w:vAlign w:val="center"/>
                </w:tcPr>
                <w:p w14:paraId="7CF8E5A1">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29" w:type="pct"/>
                  <w:tcBorders>
                    <w:tl2br w:val="nil"/>
                    <w:tr2bl w:val="nil"/>
                  </w:tcBorders>
                  <w:noWrap w:val="0"/>
                  <w:vAlign w:val="center"/>
                </w:tcPr>
                <w:p w14:paraId="0DB24D70">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2#下风向</w:t>
                  </w:r>
                </w:p>
              </w:tc>
              <w:tc>
                <w:tcPr>
                  <w:tcW w:w="642" w:type="pct"/>
                  <w:tcBorders>
                    <w:tl2br w:val="nil"/>
                    <w:tr2bl w:val="nil"/>
                  </w:tcBorders>
                  <w:shd w:val="clear" w:color="auto" w:fill="auto"/>
                  <w:noWrap w:val="0"/>
                  <w:vAlign w:val="center"/>
                </w:tcPr>
                <w:p w14:paraId="7779759E">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2" w:type="pct"/>
                  <w:tcBorders>
                    <w:tl2br w:val="nil"/>
                    <w:tr2bl w:val="nil"/>
                  </w:tcBorders>
                  <w:shd w:val="clear" w:color="auto" w:fill="auto"/>
                  <w:noWrap w:val="0"/>
                  <w:vAlign w:val="center"/>
                </w:tcPr>
                <w:p w14:paraId="7D6B3303">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4" w:type="pct"/>
                  <w:tcBorders>
                    <w:tl2br w:val="nil"/>
                    <w:tr2bl w:val="nil"/>
                  </w:tcBorders>
                  <w:shd w:val="clear" w:color="auto" w:fill="auto"/>
                  <w:noWrap w:val="0"/>
                  <w:vAlign w:val="center"/>
                </w:tcPr>
                <w:p w14:paraId="136FA8E9">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2" w:type="pct"/>
                  <w:tcBorders>
                    <w:tl2br w:val="nil"/>
                    <w:tr2bl w:val="nil"/>
                  </w:tcBorders>
                  <w:shd w:val="clear" w:color="auto" w:fill="auto"/>
                  <w:noWrap w:val="0"/>
                  <w:vAlign w:val="center"/>
                </w:tcPr>
                <w:p w14:paraId="5E35BC05">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2" w:type="pct"/>
                  <w:tcBorders>
                    <w:tl2br w:val="nil"/>
                    <w:tr2bl w:val="nil"/>
                  </w:tcBorders>
                  <w:shd w:val="clear" w:color="auto" w:fill="auto"/>
                  <w:noWrap w:val="0"/>
                  <w:vAlign w:val="center"/>
                </w:tcPr>
                <w:p w14:paraId="7371C246">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5" w:type="pct"/>
                  <w:tcBorders>
                    <w:tl2br w:val="nil"/>
                    <w:tr2bl w:val="nil"/>
                  </w:tcBorders>
                  <w:shd w:val="clear" w:color="auto" w:fill="auto"/>
                  <w:noWrap w:val="0"/>
                  <w:vAlign w:val="center"/>
                </w:tcPr>
                <w:p w14:paraId="02B6D36F">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r>
            <w:tr w14:paraId="3BA3ADF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1" w:type="pct"/>
                  <w:vMerge w:val="continue"/>
                  <w:tcBorders>
                    <w:tl2br w:val="nil"/>
                    <w:tr2bl w:val="nil"/>
                  </w:tcBorders>
                  <w:noWrap w:val="0"/>
                  <w:vAlign w:val="center"/>
                </w:tcPr>
                <w:p w14:paraId="76BBE6C6">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29" w:type="pct"/>
                  <w:tcBorders>
                    <w:tl2br w:val="nil"/>
                    <w:tr2bl w:val="nil"/>
                  </w:tcBorders>
                  <w:noWrap w:val="0"/>
                  <w:vAlign w:val="center"/>
                </w:tcPr>
                <w:p w14:paraId="7FF7BD28">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3#下风向</w:t>
                  </w:r>
                </w:p>
              </w:tc>
              <w:tc>
                <w:tcPr>
                  <w:tcW w:w="642" w:type="pct"/>
                  <w:tcBorders>
                    <w:tl2br w:val="nil"/>
                    <w:tr2bl w:val="nil"/>
                  </w:tcBorders>
                  <w:shd w:val="clear" w:color="auto" w:fill="auto"/>
                  <w:noWrap w:val="0"/>
                  <w:vAlign w:val="center"/>
                </w:tcPr>
                <w:p w14:paraId="6E6C92BD">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2" w:type="pct"/>
                  <w:tcBorders>
                    <w:tl2br w:val="nil"/>
                    <w:tr2bl w:val="nil"/>
                  </w:tcBorders>
                  <w:shd w:val="clear" w:color="auto" w:fill="auto"/>
                  <w:noWrap w:val="0"/>
                  <w:vAlign w:val="center"/>
                </w:tcPr>
                <w:p w14:paraId="0E6A2D7D">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4" w:type="pct"/>
                  <w:tcBorders>
                    <w:tl2br w:val="nil"/>
                    <w:tr2bl w:val="nil"/>
                  </w:tcBorders>
                  <w:shd w:val="clear" w:color="auto" w:fill="auto"/>
                  <w:noWrap w:val="0"/>
                  <w:vAlign w:val="center"/>
                </w:tcPr>
                <w:p w14:paraId="3BCAD861">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2" w:type="pct"/>
                  <w:tcBorders>
                    <w:tl2br w:val="nil"/>
                    <w:tr2bl w:val="nil"/>
                  </w:tcBorders>
                  <w:shd w:val="clear" w:color="auto" w:fill="auto"/>
                  <w:noWrap w:val="0"/>
                  <w:vAlign w:val="center"/>
                </w:tcPr>
                <w:p w14:paraId="7F38FD78">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2" w:type="pct"/>
                  <w:tcBorders>
                    <w:tl2br w:val="nil"/>
                    <w:tr2bl w:val="nil"/>
                  </w:tcBorders>
                  <w:shd w:val="clear" w:color="auto" w:fill="auto"/>
                  <w:noWrap w:val="0"/>
                  <w:vAlign w:val="center"/>
                </w:tcPr>
                <w:p w14:paraId="5BE07ECE">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5" w:type="pct"/>
                  <w:tcBorders>
                    <w:tl2br w:val="nil"/>
                    <w:tr2bl w:val="nil"/>
                  </w:tcBorders>
                  <w:shd w:val="clear" w:color="auto" w:fill="auto"/>
                  <w:noWrap w:val="0"/>
                  <w:vAlign w:val="center"/>
                </w:tcPr>
                <w:p w14:paraId="19D20DAF">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r>
            <w:tr w14:paraId="1A88258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1" w:type="pct"/>
                  <w:vMerge w:val="continue"/>
                  <w:tcBorders>
                    <w:tl2br w:val="nil"/>
                    <w:tr2bl w:val="nil"/>
                  </w:tcBorders>
                  <w:noWrap w:val="0"/>
                  <w:vAlign w:val="center"/>
                </w:tcPr>
                <w:p w14:paraId="00591F2B">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29" w:type="pct"/>
                  <w:tcBorders>
                    <w:tl2br w:val="nil"/>
                    <w:tr2bl w:val="nil"/>
                  </w:tcBorders>
                  <w:noWrap w:val="0"/>
                  <w:vAlign w:val="center"/>
                </w:tcPr>
                <w:p w14:paraId="09D33564">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4#下风向</w:t>
                  </w:r>
                </w:p>
              </w:tc>
              <w:tc>
                <w:tcPr>
                  <w:tcW w:w="642" w:type="pct"/>
                  <w:tcBorders>
                    <w:tl2br w:val="nil"/>
                    <w:tr2bl w:val="nil"/>
                  </w:tcBorders>
                  <w:shd w:val="clear" w:color="auto" w:fill="auto"/>
                  <w:noWrap w:val="0"/>
                  <w:vAlign w:val="center"/>
                </w:tcPr>
                <w:p w14:paraId="4AD717A7">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2" w:type="pct"/>
                  <w:tcBorders>
                    <w:tl2br w:val="nil"/>
                    <w:tr2bl w:val="nil"/>
                  </w:tcBorders>
                  <w:shd w:val="clear" w:color="auto" w:fill="auto"/>
                  <w:noWrap w:val="0"/>
                  <w:vAlign w:val="center"/>
                </w:tcPr>
                <w:p w14:paraId="1E895B48">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4" w:type="pct"/>
                  <w:tcBorders>
                    <w:tl2br w:val="nil"/>
                    <w:tr2bl w:val="nil"/>
                  </w:tcBorders>
                  <w:shd w:val="clear" w:color="auto" w:fill="auto"/>
                  <w:noWrap w:val="0"/>
                  <w:vAlign w:val="center"/>
                </w:tcPr>
                <w:p w14:paraId="7D51F1B1">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2" w:type="pct"/>
                  <w:tcBorders>
                    <w:tl2br w:val="nil"/>
                    <w:tr2bl w:val="nil"/>
                  </w:tcBorders>
                  <w:shd w:val="clear" w:color="auto" w:fill="auto"/>
                  <w:noWrap w:val="0"/>
                  <w:vAlign w:val="center"/>
                </w:tcPr>
                <w:p w14:paraId="1A11F0CD">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2" w:type="pct"/>
                  <w:tcBorders>
                    <w:tl2br w:val="nil"/>
                    <w:tr2bl w:val="nil"/>
                  </w:tcBorders>
                  <w:shd w:val="clear" w:color="auto" w:fill="auto"/>
                  <w:noWrap w:val="0"/>
                  <w:vAlign w:val="center"/>
                </w:tcPr>
                <w:p w14:paraId="4483B254">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5" w:type="pct"/>
                  <w:tcBorders>
                    <w:tl2br w:val="nil"/>
                    <w:tr2bl w:val="nil"/>
                  </w:tcBorders>
                  <w:shd w:val="clear" w:color="auto" w:fill="auto"/>
                  <w:noWrap w:val="0"/>
                  <w:vAlign w:val="center"/>
                </w:tcPr>
                <w:p w14:paraId="3A3EEAD6">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r>
            <w:tr w14:paraId="36F8C68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1" w:type="pct"/>
                  <w:vMerge w:val="continue"/>
                  <w:tcBorders>
                    <w:tl2br w:val="nil"/>
                    <w:tr2bl w:val="nil"/>
                  </w:tcBorders>
                  <w:noWrap w:val="0"/>
                  <w:vAlign w:val="center"/>
                </w:tcPr>
                <w:p w14:paraId="464EE13D">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29" w:type="pct"/>
                  <w:tcBorders>
                    <w:tl2br w:val="nil"/>
                    <w:tr2bl w:val="nil"/>
                  </w:tcBorders>
                  <w:noWrap w:val="0"/>
                  <w:vAlign w:val="center"/>
                </w:tcPr>
                <w:p w14:paraId="2B214441">
                  <w:pPr>
                    <w:keepNext w:val="0"/>
                    <w:keepLines w:val="0"/>
                    <w:pageBreakBefore w:val="0"/>
                    <w:widowControl/>
                    <w:kinsoku/>
                    <w:wordWrap/>
                    <w:overflowPunct/>
                    <w:topLinePunct w:val="0"/>
                    <w:autoSpaceDE/>
                    <w:autoSpaceDN/>
                    <w:bidi w:val="0"/>
                    <w:ind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结果值</w:t>
                  </w:r>
                </w:p>
              </w:tc>
              <w:tc>
                <w:tcPr>
                  <w:tcW w:w="642" w:type="pct"/>
                  <w:tcBorders>
                    <w:tl2br w:val="nil"/>
                    <w:tr2bl w:val="nil"/>
                  </w:tcBorders>
                  <w:shd w:val="clear" w:color="auto" w:fill="auto"/>
                  <w:noWrap w:val="0"/>
                  <w:vAlign w:val="center"/>
                </w:tcPr>
                <w:p w14:paraId="709D3611">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2" w:type="pct"/>
                  <w:tcBorders>
                    <w:tl2br w:val="nil"/>
                    <w:tr2bl w:val="nil"/>
                  </w:tcBorders>
                  <w:shd w:val="clear" w:color="auto" w:fill="auto"/>
                  <w:noWrap w:val="0"/>
                  <w:vAlign w:val="center"/>
                </w:tcPr>
                <w:p w14:paraId="366B694D">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4" w:type="pct"/>
                  <w:tcBorders>
                    <w:tl2br w:val="nil"/>
                    <w:tr2bl w:val="nil"/>
                  </w:tcBorders>
                  <w:shd w:val="clear" w:color="auto" w:fill="auto"/>
                  <w:noWrap w:val="0"/>
                  <w:vAlign w:val="center"/>
                </w:tcPr>
                <w:p w14:paraId="32E92EE2">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2" w:type="pct"/>
                  <w:tcBorders>
                    <w:tl2br w:val="nil"/>
                    <w:tr2bl w:val="nil"/>
                  </w:tcBorders>
                  <w:shd w:val="clear" w:color="auto" w:fill="auto"/>
                  <w:noWrap w:val="0"/>
                  <w:vAlign w:val="center"/>
                </w:tcPr>
                <w:p w14:paraId="6BE69A69">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2" w:type="pct"/>
                  <w:tcBorders>
                    <w:tl2br w:val="nil"/>
                    <w:tr2bl w:val="nil"/>
                  </w:tcBorders>
                  <w:shd w:val="clear" w:color="auto" w:fill="auto"/>
                  <w:noWrap w:val="0"/>
                  <w:vAlign w:val="center"/>
                </w:tcPr>
                <w:p w14:paraId="1CB91565">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c>
                <w:tcPr>
                  <w:tcW w:w="645" w:type="pct"/>
                  <w:tcBorders>
                    <w:tl2br w:val="nil"/>
                    <w:tr2bl w:val="nil"/>
                  </w:tcBorders>
                  <w:shd w:val="clear" w:color="auto" w:fill="auto"/>
                  <w:noWrap w:val="0"/>
                  <w:vAlign w:val="center"/>
                </w:tcPr>
                <w:p w14:paraId="613778AF">
                  <w:pPr>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0.0</w:t>
                  </w:r>
                  <w:r>
                    <w:rPr>
                      <w:rFonts w:hint="eastAsia" w:ascii="Times New Roman" w:hAnsi="Times New Roman" w:eastAsia="宋体" w:cs="Times New Roman"/>
                      <w:sz w:val="21"/>
                      <w:szCs w:val="21"/>
                      <w:highlight w:val="none"/>
                      <w:lang w:val="en-US" w:eastAsia="zh-CN"/>
                    </w:rPr>
                    <w:t>5</w:t>
                  </w:r>
                </w:p>
              </w:tc>
            </w:tr>
            <w:tr w14:paraId="6D87E96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1" w:type="pct"/>
                  <w:vMerge w:val="restart"/>
                  <w:tcBorders>
                    <w:tl2br w:val="nil"/>
                    <w:tr2bl w:val="nil"/>
                  </w:tcBorders>
                  <w:noWrap w:val="0"/>
                  <w:vAlign w:val="center"/>
                </w:tcPr>
                <w:p w14:paraId="3B5086A4">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p>
                <w:p w14:paraId="08A4612A">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p>
                <w:p w14:paraId="1BF650A4">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p>
                <w:p w14:paraId="1DAB7922">
                  <w:pPr>
                    <w:keepNext w:val="0"/>
                    <w:keepLines w:val="0"/>
                    <w:pageBreakBefore w:val="0"/>
                    <w:widowControl w:val="0"/>
                    <w:kinsoku/>
                    <w:wordWrap/>
                    <w:overflowPunct/>
                    <w:topLinePunct w:val="0"/>
                    <w:autoSpaceDE/>
                    <w:autoSpaceDN/>
                    <w:bidi w:val="0"/>
                    <w:adjustRightInd/>
                    <w:snapToGrid w:val="0"/>
                    <w:ind w:right="-105" w:rightChars="-50"/>
                    <w:jc w:val="both"/>
                    <w:textAlignment w:val="auto"/>
                    <w:rPr>
                      <w:rFonts w:hint="default" w:ascii="Times New Roman" w:hAnsi="Times New Roman" w:eastAsia="宋体" w:cs="Times New Roman"/>
                      <w:b w:val="0"/>
                      <w:bCs w:val="0"/>
                      <w:sz w:val="21"/>
                      <w:szCs w:val="21"/>
                      <w:highlight w:val="none"/>
                      <w:vertAlign w:val="baseline"/>
                      <w:lang w:val="en-US" w:eastAsia="zh-CN"/>
                    </w:rPr>
                  </w:pPr>
                  <w:r>
                    <w:rPr>
                      <w:rFonts w:hint="eastAsia" w:ascii="Times New Roman" w:hAnsi="Times New Roman" w:eastAsia="宋体" w:cs="Times New Roman"/>
                      <w:b w:val="0"/>
                      <w:bCs w:val="0"/>
                      <w:sz w:val="21"/>
                      <w:szCs w:val="21"/>
                      <w:highlight w:val="none"/>
                      <w:vertAlign w:val="baseline"/>
                      <w:lang w:val="en-US" w:eastAsia="zh-CN"/>
                    </w:rPr>
                    <w:t>非甲烷总烃</w:t>
                  </w:r>
                  <w:r>
                    <w:rPr>
                      <w:rFonts w:hint="default" w:ascii="Times New Roman" w:hAnsi="Times New Roman" w:eastAsia="宋体" w:cs="Times New Roman"/>
                      <w:b w:val="0"/>
                      <w:bCs w:val="0"/>
                      <w:color w:val="auto"/>
                      <w:sz w:val="21"/>
                      <w:szCs w:val="21"/>
                      <w:highlight w:val="none"/>
                      <w:vertAlign w:val="baseline"/>
                      <w:lang w:val="en-US" w:eastAsia="zh-CN"/>
                    </w:rPr>
                    <w:t>（mg/m</w:t>
                  </w:r>
                  <w:r>
                    <w:rPr>
                      <w:rFonts w:hint="default" w:ascii="Times New Roman" w:hAnsi="Times New Roman" w:eastAsia="宋体" w:cs="Times New Roman"/>
                      <w:b w:val="0"/>
                      <w:bCs w:val="0"/>
                      <w:color w:val="auto"/>
                      <w:sz w:val="21"/>
                      <w:szCs w:val="21"/>
                      <w:highlight w:val="none"/>
                      <w:vertAlign w:val="superscript"/>
                      <w:lang w:val="en-US" w:eastAsia="zh-CN"/>
                    </w:rPr>
                    <w:t>3</w:t>
                  </w:r>
                  <w:r>
                    <w:rPr>
                      <w:rFonts w:hint="default" w:ascii="Times New Roman" w:hAnsi="Times New Roman" w:eastAsia="宋体" w:cs="Times New Roman"/>
                      <w:b w:val="0"/>
                      <w:bCs w:val="0"/>
                      <w:color w:val="auto"/>
                      <w:sz w:val="21"/>
                      <w:szCs w:val="21"/>
                      <w:highlight w:val="none"/>
                      <w:vertAlign w:val="baseline"/>
                      <w:lang w:val="en-US" w:eastAsia="zh-CN"/>
                    </w:rPr>
                    <w:t>）</w:t>
                  </w:r>
                </w:p>
              </w:tc>
              <w:tc>
                <w:tcPr>
                  <w:tcW w:w="529" w:type="pct"/>
                  <w:tcBorders>
                    <w:tl2br w:val="nil"/>
                    <w:tr2bl w:val="nil"/>
                  </w:tcBorders>
                  <w:shd w:val="clear" w:color="auto" w:fill="auto"/>
                  <w:noWrap w:val="0"/>
                  <w:vAlign w:val="center"/>
                </w:tcPr>
                <w:p w14:paraId="4A8B391C">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1#上风向</w:t>
                  </w:r>
                </w:p>
              </w:tc>
              <w:tc>
                <w:tcPr>
                  <w:tcW w:w="642" w:type="pct"/>
                  <w:tcBorders>
                    <w:tl2br w:val="nil"/>
                    <w:tr2bl w:val="nil"/>
                  </w:tcBorders>
                  <w:shd w:val="clear" w:color="auto" w:fill="auto"/>
                  <w:noWrap w:val="0"/>
                  <w:vAlign w:val="top"/>
                </w:tcPr>
                <w:p w14:paraId="7C8D7AA0">
                  <w:pPr>
                    <w:pStyle w:val="40"/>
                    <w:spacing w:before="111" w:line="214" w:lineRule="auto"/>
                    <w:ind w:left="304"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0.33</w:t>
                  </w:r>
                </w:p>
              </w:tc>
              <w:tc>
                <w:tcPr>
                  <w:tcW w:w="642" w:type="pct"/>
                  <w:tcBorders>
                    <w:tl2br w:val="nil"/>
                    <w:tr2bl w:val="nil"/>
                  </w:tcBorders>
                  <w:shd w:val="clear" w:color="auto" w:fill="auto"/>
                  <w:noWrap w:val="0"/>
                  <w:vAlign w:val="top"/>
                </w:tcPr>
                <w:p w14:paraId="4760355D">
                  <w:pPr>
                    <w:pStyle w:val="40"/>
                    <w:spacing w:before="111" w:line="214" w:lineRule="auto"/>
                    <w:ind w:left="295"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0.29</w:t>
                  </w:r>
                </w:p>
              </w:tc>
              <w:tc>
                <w:tcPr>
                  <w:tcW w:w="644" w:type="pct"/>
                  <w:tcBorders>
                    <w:tl2br w:val="nil"/>
                    <w:tr2bl w:val="nil"/>
                  </w:tcBorders>
                  <w:shd w:val="clear" w:color="auto" w:fill="auto"/>
                  <w:noWrap w:val="0"/>
                  <w:vAlign w:val="top"/>
                </w:tcPr>
                <w:p w14:paraId="12650370">
                  <w:pPr>
                    <w:pStyle w:val="40"/>
                    <w:spacing w:before="111" w:line="214" w:lineRule="auto"/>
                    <w:ind w:left="295"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0.33</w:t>
                  </w:r>
                </w:p>
              </w:tc>
              <w:tc>
                <w:tcPr>
                  <w:tcW w:w="642" w:type="pct"/>
                  <w:tcBorders>
                    <w:tl2br w:val="nil"/>
                    <w:tr2bl w:val="nil"/>
                  </w:tcBorders>
                  <w:shd w:val="clear" w:color="auto" w:fill="auto"/>
                  <w:noWrap w:val="0"/>
                  <w:vAlign w:val="top"/>
                </w:tcPr>
                <w:p w14:paraId="1263C34F">
                  <w:pPr>
                    <w:pStyle w:val="40"/>
                    <w:spacing w:before="111" w:line="214" w:lineRule="auto"/>
                    <w:ind w:left="307"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0.32</w:t>
                  </w:r>
                </w:p>
              </w:tc>
              <w:tc>
                <w:tcPr>
                  <w:tcW w:w="642" w:type="pct"/>
                  <w:tcBorders>
                    <w:tl2br w:val="nil"/>
                    <w:tr2bl w:val="nil"/>
                  </w:tcBorders>
                  <w:shd w:val="clear" w:color="auto" w:fill="auto"/>
                  <w:noWrap w:val="0"/>
                  <w:vAlign w:val="top"/>
                </w:tcPr>
                <w:p w14:paraId="7800855E">
                  <w:pPr>
                    <w:pStyle w:val="40"/>
                    <w:spacing w:before="111" w:line="214" w:lineRule="auto"/>
                    <w:ind w:left="299"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0.32</w:t>
                  </w:r>
                </w:p>
              </w:tc>
              <w:tc>
                <w:tcPr>
                  <w:tcW w:w="645" w:type="pct"/>
                  <w:tcBorders>
                    <w:tl2br w:val="nil"/>
                    <w:tr2bl w:val="nil"/>
                  </w:tcBorders>
                  <w:shd w:val="clear" w:color="auto" w:fill="auto"/>
                  <w:noWrap w:val="0"/>
                  <w:vAlign w:val="top"/>
                </w:tcPr>
                <w:p w14:paraId="7C227776">
                  <w:pPr>
                    <w:pStyle w:val="40"/>
                    <w:spacing w:before="111" w:line="214" w:lineRule="auto"/>
                    <w:ind w:left="310"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0.31</w:t>
                  </w:r>
                </w:p>
              </w:tc>
            </w:tr>
            <w:tr w14:paraId="4A9868A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1" w:type="pct"/>
                  <w:vMerge w:val="continue"/>
                  <w:tcBorders>
                    <w:tl2br w:val="nil"/>
                    <w:tr2bl w:val="nil"/>
                  </w:tcBorders>
                  <w:noWrap w:val="0"/>
                  <w:vAlign w:val="center"/>
                </w:tcPr>
                <w:p w14:paraId="03EE61D0">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29" w:type="pct"/>
                  <w:tcBorders>
                    <w:tl2br w:val="nil"/>
                    <w:tr2bl w:val="nil"/>
                  </w:tcBorders>
                  <w:shd w:val="clear" w:color="auto" w:fill="auto"/>
                  <w:noWrap w:val="0"/>
                  <w:vAlign w:val="center"/>
                </w:tcPr>
                <w:p w14:paraId="37C6C0D5">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2#下风向</w:t>
                  </w:r>
                </w:p>
              </w:tc>
              <w:tc>
                <w:tcPr>
                  <w:tcW w:w="642" w:type="pct"/>
                  <w:tcBorders>
                    <w:tl2br w:val="nil"/>
                    <w:tr2bl w:val="nil"/>
                  </w:tcBorders>
                  <w:shd w:val="clear" w:color="auto" w:fill="auto"/>
                  <w:noWrap w:val="0"/>
                  <w:vAlign w:val="top"/>
                </w:tcPr>
                <w:p w14:paraId="0268FBDA">
                  <w:pPr>
                    <w:pStyle w:val="40"/>
                    <w:spacing w:before="111" w:line="214" w:lineRule="auto"/>
                    <w:ind w:left="304"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0.52</w:t>
                  </w:r>
                </w:p>
              </w:tc>
              <w:tc>
                <w:tcPr>
                  <w:tcW w:w="642" w:type="pct"/>
                  <w:tcBorders>
                    <w:tl2br w:val="nil"/>
                    <w:tr2bl w:val="nil"/>
                  </w:tcBorders>
                  <w:shd w:val="clear" w:color="auto" w:fill="auto"/>
                  <w:noWrap w:val="0"/>
                  <w:vAlign w:val="top"/>
                </w:tcPr>
                <w:p w14:paraId="5AB5CF4E">
                  <w:pPr>
                    <w:pStyle w:val="40"/>
                    <w:spacing w:before="111" w:line="214" w:lineRule="auto"/>
                    <w:ind w:left="295"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0.53</w:t>
                  </w:r>
                </w:p>
              </w:tc>
              <w:tc>
                <w:tcPr>
                  <w:tcW w:w="644" w:type="pct"/>
                  <w:tcBorders>
                    <w:tl2br w:val="nil"/>
                    <w:tr2bl w:val="nil"/>
                  </w:tcBorders>
                  <w:shd w:val="clear" w:color="auto" w:fill="auto"/>
                  <w:noWrap w:val="0"/>
                  <w:vAlign w:val="top"/>
                </w:tcPr>
                <w:p w14:paraId="2515985C">
                  <w:pPr>
                    <w:pStyle w:val="40"/>
                    <w:spacing w:before="111" w:line="214" w:lineRule="auto"/>
                    <w:ind w:left="295"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0.52</w:t>
                  </w:r>
                </w:p>
              </w:tc>
              <w:tc>
                <w:tcPr>
                  <w:tcW w:w="642" w:type="pct"/>
                  <w:tcBorders>
                    <w:tl2br w:val="nil"/>
                    <w:tr2bl w:val="nil"/>
                  </w:tcBorders>
                  <w:shd w:val="clear" w:color="auto" w:fill="auto"/>
                  <w:noWrap w:val="0"/>
                  <w:vAlign w:val="top"/>
                </w:tcPr>
                <w:p w14:paraId="6330C822">
                  <w:pPr>
                    <w:pStyle w:val="40"/>
                    <w:spacing w:before="111" w:line="214" w:lineRule="auto"/>
                    <w:ind w:left="307"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0.54</w:t>
                  </w:r>
                </w:p>
              </w:tc>
              <w:tc>
                <w:tcPr>
                  <w:tcW w:w="642" w:type="pct"/>
                  <w:tcBorders>
                    <w:tl2br w:val="nil"/>
                    <w:tr2bl w:val="nil"/>
                  </w:tcBorders>
                  <w:shd w:val="clear" w:color="auto" w:fill="auto"/>
                  <w:noWrap w:val="0"/>
                  <w:vAlign w:val="top"/>
                </w:tcPr>
                <w:p w14:paraId="74D3B8C1">
                  <w:pPr>
                    <w:pStyle w:val="40"/>
                    <w:spacing w:before="111" w:line="214" w:lineRule="auto"/>
                    <w:ind w:left="299"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0.57</w:t>
                  </w:r>
                </w:p>
              </w:tc>
              <w:tc>
                <w:tcPr>
                  <w:tcW w:w="645" w:type="pct"/>
                  <w:tcBorders>
                    <w:tl2br w:val="nil"/>
                    <w:tr2bl w:val="nil"/>
                  </w:tcBorders>
                  <w:shd w:val="clear" w:color="auto" w:fill="auto"/>
                  <w:noWrap w:val="0"/>
                  <w:vAlign w:val="top"/>
                </w:tcPr>
                <w:p w14:paraId="1E80520B">
                  <w:pPr>
                    <w:pStyle w:val="40"/>
                    <w:spacing w:before="111" w:line="214" w:lineRule="auto"/>
                    <w:ind w:left="310"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0.54</w:t>
                  </w:r>
                </w:p>
              </w:tc>
            </w:tr>
            <w:tr w14:paraId="537E6A1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1" w:type="pct"/>
                  <w:vMerge w:val="continue"/>
                  <w:tcBorders>
                    <w:tl2br w:val="nil"/>
                    <w:tr2bl w:val="nil"/>
                  </w:tcBorders>
                  <w:noWrap w:val="0"/>
                  <w:vAlign w:val="center"/>
                </w:tcPr>
                <w:p w14:paraId="12B35C09">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29" w:type="pct"/>
                  <w:tcBorders>
                    <w:tl2br w:val="nil"/>
                    <w:tr2bl w:val="nil"/>
                  </w:tcBorders>
                  <w:shd w:val="clear" w:color="auto" w:fill="auto"/>
                  <w:noWrap w:val="0"/>
                  <w:vAlign w:val="center"/>
                </w:tcPr>
                <w:p w14:paraId="5529502B">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3#下风向</w:t>
                  </w:r>
                </w:p>
              </w:tc>
              <w:tc>
                <w:tcPr>
                  <w:tcW w:w="642" w:type="pct"/>
                  <w:tcBorders>
                    <w:tl2br w:val="nil"/>
                    <w:tr2bl w:val="nil"/>
                  </w:tcBorders>
                  <w:shd w:val="clear" w:color="auto" w:fill="auto"/>
                  <w:noWrap w:val="0"/>
                  <w:vAlign w:val="top"/>
                </w:tcPr>
                <w:p w14:paraId="25C7E332">
                  <w:pPr>
                    <w:pStyle w:val="40"/>
                    <w:spacing w:before="112" w:line="206" w:lineRule="auto"/>
                    <w:ind w:left="304"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0.52</w:t>
                  </w:r>
                </w:p>
              </w:tc>
              <w:tc>
                <w:tcPr>
                  <w:tcW w:w="642" w:type="pct"/>
                  <w:tcBorders>
                    <w:tl2br w:val="nil"/>
                    <w:tr2bl w:val="nil"/>
                  </w:tcBorders>
                  <w:shd w:val="clear" w:color="auto" w:fill="auto"/>
                  <w:noWrap w:val="0"/>
                  <w:vAlign w:val="top"/>
                </w:tcPr>
                <w:p w14:paraId="3C985A6D">
                  <w:pPr>
                    <w:pStyle w:val="40"/>
                    <w:spacing w:before="112" w:line="206" w:lineRule="auto"/>
                    <w:ind w:left="295"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0.55</w:t>
                  </w:r>
                </w:p>
              </w:tc>
              <w:tc>
                <w:tcPr>
                  <w:tcW w:w="644" w:type="pct"/>
                  <w:tcBorders>
                    <w:tl2br w:val="nil"/>
                    <w:tr2bl w:val="nil"/>
                  </w:tcBorders>
                  <w:shd w:val="clear" w:color="auto" w:fill="auto"/>
                  <w:noWrap w:val="0"/>
                  <w:vAlign w:val="top"/>
                </w:tcPr>
                <w:p w14:paraId="0FD390D1">
                  <w:pPr>
                    <w:pStyle w:val="40"/>
                    <w:spacing w:before="112" w:line="206" w:lineRule="auto"/>
                    <w:ind w:left="295"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0.54</w:t>
                  </w:r>
                </w:p>
              </w:tc>
              <w:tc>
                <w:tcPr>
                  <w:tcW w:w="642" w:type="pct"/>
                  <w:tcBorders>
                    <w:tl2br w:val="nil"/>
                    <w:tr2bl w:val="nil"/>
                  </w:tcBorders>
                  <w:shd w:val="clear" w:color="auto" w:fill="auto"/>
                  <w:noWrap w:val="0"/>
                  <w:vAlign w:val="top"/>
                </w:tcPr>
                <w:p w14:paraId="029F5AE8">
                  <w:pPr>
                    <w:pStyle w:val="40"/>
                    <w:spacing w:before="112" w:line="206" w:lineRule="auto"/>
                    <w:ind w:left="307"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0.53</w:t>
                  </w:r>
                </w:p>
              </w:tc>
              <w:tc>
                <w:tcPr>
                  <w:tcW w:w="642" w:type="pct"/>
                  <w:tcBorders>
                    <w:tl2br w:val="nil"/>
                    <w:tr2bl w:val="nil"/>
                  </w:tcBorders>
                  <w:shd w:val="clear" w:color="auto" w:fill="auto"/>
                  <w:noWrap w:val="0"/>
                  <w:vAlign w:val="top"/>
                </w:tcPr>
                <w:p w14:paraId="679D5248">
                  <w:pPr>
                    <w:pStyle w:val="40"/>
                    <w:spacing w:before="112" w:line="206" w:lineRule="auto"/>
                    <w:ind w:left="299"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0.56</w:t>
                  </w:r>
                </w:p>
              </w:tc>
              <w:tc>
                <w:tcPr>
                  <w:tcW w:w="645" w:type="pct"/>
                  <w:tcBorders>
                    <w:tl2br w:val="nil"/>
                    <w:tr2bl w:val="nil"/>
                  </w:tcBorders>
                  <w:shd w:val="clear" w:color="auto" w:fill="auto"/>
                  <w:noWrap w:val="0"/>
                  <w:vAlign w:val="top"/>
                </w:tcPr>
                <w:p w14:paraId="0FAA9669">
                  <w:pPr>
                    <w:pStyle w:val="40"/>
                    <w:spacing w:before="112" w:line="206" w:lineRule="auto"/>
                    <w:ind w:left="310"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0.53</w:t>
                  </w:r>
                </w:p>
              </w:tc>
            </w:tr>
            <w:tr w14:paraId="5330535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1" w:type="pct"/>
                  <w:vMerge w:val="continue"/>
                  <w:tcBorders>
                    <w:tl2br w:val="nil"/>
                    <w:tr2bl w:val="nil"/>
                  </w:tcBorders>
                  <w:noWrap w:val="0"/>
                  <w:vAlign w:val="center"/>
                </w:tcPr>
                <w:p w14:paraId="2C76E7D2">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29" w:type="pct"/>
                  <w:tcBorders>
                    <w:tl2br w:val="nil"/>
                    <w:tr2bl w:val="nil"/>
                  </w:tcBorders>
                  <w:shd w:val="clear" w:color="auto" w:fill="auto"/>
                  <w:noWrap w:val="0"/>
                  <w:vAlign w:val="center"/>
                </w:tcPr>
                <w:p w14:paraId="108587CA">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4#下风向</w:t>
                  </w:r>
                </w:p>
              </w:tc>
              <w:tc>
                <w:tcPr>
                  <w:tcW w:w="642" w:type="pct"/>
                  <w:tcBorders>
                    <w:tl2br w:val="nil"/>
                    <w:tr2bl w:val="nil"/>
                  </w:tcBorders>
                  <w:shd w:val="clear" w:color="auto" w:fill="auto"/>
                  <w:noWrap w:val="0"/>
                  <w:vAlign w:val="top"/>
                </w:tcPr>
                <w:p w14:paraId="3D76F8B5">
                  <w:pPr>
                    <w:pStyle w:val="40"/>
                    <w:spacing w:before="111" w:line="214" w:lineRule="auto"/>
                    <w:ind w:left="304"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0.55</w:t>
                  </w:r>
                </w:p>
              </w:tc>
              <w:tc>
                <w:tcPr>
                  <w:tcW w:w="642" w:type="pct"/>
                  <w:tcBorders>
                    <w:tl2br w:val="nil"/>
                    <w:tr2bl w:val="nil"/>
                  </w:tcBorders>
                  <w:shd w:val="clear" w:color="auto" w:fill="auto"/>
                  <w:noWrap w:val="0"/>
                  <w:vAlign w:val="top"/>
                </w:tcPr>
                <w:p w14:paraId="4B869A37">
                  <w:pPr>
                    <w:pStyle w:val="40"/>
                    <w:spacing w:before="111" w:line="214" w:lineRule="auto"/>
                    <w:ind w:left="295"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0.58</w:t>
                  </w:r>
                </w:p>
              </w:tc>
              <w:tc>
                <w:tcPr>
                  <w:tcW w:w="644" w:type="pct"/>
                  <w:tcBorders>
                    <w:tl2br w:val="nil"/>
                    <w:tr2bl w:val="nil"/>
                  </w:tcBorders>
                  <w:shd w:val="clear" w:color="auto" w:fill="auto"/>
                  <w:noWrap w:val="0"/>
                  <w:vAlign w:val="top"/>
                </w:tcPr>
                <w:p w14:paraId="2E918A41">
                  <w:pPr>
                    <w:pStyle w:val="40"/>
                    <w:spacing w:before="111" w:line="214" w:lineRule="auto"/>
                    <w:ind w:left="295"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0.54</w:t>
                  </w:r>
                </w:p>
              </w:tc>
              <w:tc>
                <w:tcPr>
                  <w:tcW w:w="642" w:type="pct"/>
                  <w:tcBorders>
                    <w:tl2br w:val="nil"/>
                    <w:tr2bl w:val="nil"/>
                  </w:tcBorders>
                  <w:shd w:val="clear" w:color="auto" w:fill="auto"/>
                  <w:noWrap w:val="0"/>
                  <w:vAlign w:val="top"/>
                </w:tcPr>
                <w:p w14:paraId="6226B2DD">
                  <w:pPr>
                    <w:pStyle w:val="40"/>
                    <w:spacing w:before="111" w:line="214" w:lineRule="auto"/>
                    <w:ind w:left="307"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0.55</w:t>
                  </w:r>
                </w:p>
              </w:tc>
              <w:tc>
                <w:tcPr>
                  <w:tcW w:w="642" w:type="pct"/>
                  <w:tcBorders>
                    <w:tl2br w:val="nil"/>
                    <w:tr2bl w:val="nil"/>
                  </w:tcBorders>
                  <w:shd w:val="clear" w:color="auto" w:fill="auto"/>
                  <w:noWrap w:val="0"/>
                  <w:vAlign w:val="top"/>
                </w:tcPr>
                <w:p w14:paraId="56DB08BE">
                  <w:pPr>
                    <w:pStyle w:val="40"/>
                    <w:spacing w:before="111" w:line="214" w:lineRule="auto"/>
                    <w:ind w:left="299"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0.55</w:t>
                  </w:r>
                </w:p>
              </w:tc>
              <w:tc>
                <w:tcPr>
                  <w:tcW w:w="645" w:type="pct"/>
                  <w:tcBorders>
                    <w:tl2br w:val="nil"/>
                    <w:tr2bl w:val="nil"/>
                  </w:tcBorders>
                  <w:shd w:val="clear" w:color="auto" w:fill="auto"/>
                  <w:noWrap w:val="0"/>
                  <w:vAlign w:val="top"/>
                </w:tcPr>
                <w:p w14:paraId="42915199">
                  <w:pPr>
                    <w:pStyle w:val="40"/>
                    <w:spacing w:before="111" w:line="214" w:lineRule="auto"/>
                    <w:ind w:left="310"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0.51</w:t>
                  </w:r>
                </w:p>
              </w:tc>
            </w:tr>
            <w:tr w14:paraId="6FCE03F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1" w:type="pct"/>
                  <w:vMerge w:val="continue"/>
                  <w:tcBorders>
                    <w:tl2br w:val="nil"/>
                    <w:tr2bl w:val="nil"/>
                  </w:tcBorders>
                  <w:noWrap w:val="0"/>
                  <w:vAlign w:val="center"/>
                </w:tcPr>
                <w:p w14:paraId="204D6A6B">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29" w:type="pct"/>
                  <w:tcBorders>
                    <w:tl2br w:val="nil"/>
                    <w:tr2bl w:val="nil"/>
                  </w:tcBorders>
                  <w:shd w:val="clear" w:color="auto" w:fill="auto"/>
                  <w:noWrap w:val="0"/>
                  <w:vAlign w:val="center"/>
                </w:tcPr>
                <w:p w14:paraId="37563C20">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结果值</w:t>
                  </w:r>
                </w:p>
              </w:tc>
              <w:tc>
                <w:tcPr>
                  <w:tcW w:w="642" w:type="pct"/>
                  <w:tcBorders>
                    <w:tl2br w:val="nil"/>
                    <w:tr2bl w:val="nil"/>
                  </w:tcBorders>
                  <w:shd w:val="clear" w:color="auto" w:fill="auto"/>
                  <w:noWrap w:val="0"/>
                  <w:vAlign w:val="top"/>
                </w:tcPr>
                <w:p w14:paraId="04B7EADC">
                  <w:pPr>
                    <w:pStyle w:val="40"/>
                    <w:spacing w:before="112" w:line="206" w:lineRule="auto"/>
                    <w:ind w:left="304"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0.55</w:t>
                  </w:r>
                </w:p>
              </w:tc>
              <w:tc>
                <w:tcPr>
                  <w:tcW w:w="642" w:type="pct"/>
                  <w:tcBorders>
                    <w:tl2br w:val="nil"/>
                    <w:tr2bl w:val="nil"/>
                  </w:tcBorders>
                  <w:shd w:val="clear" w:color="auto" w:fill="auto"/>
                  <w:noWrap w:val="0"/>
                  <w:vAlign w:val="top"/>
                </w:tcPr>
                <w:p w14:paraId="19CCD08A">
                  <w:pPr>
                    <w:pStyle w:val="40"/>
                    <w:spacing w:before="112" w:line="206" w:lineRule="auto"/>
                    <w:ind w:left="295"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0.58</w:t>
                  </w:r>
                </w:p>
              </w:tc>
              <w:tc>
                <w:tcPr>
                  <w:tcW w:w="644" w:type="pct"/>
                  <w:tcBorders>
                    <w:tl2br w:val="nil"/>
                    <w:tr2bl w:val="nil"/>
                  </w:tcBorders>
                  <w:shd w:val="clear" w:color="auto" w:fill="auto"/>
                  <w:noWrap w:val="0"/>
                  <w:vAlign w:val="top"/>
                </w:tcPr>
                <w:p w14:paraId="6A5B33F8">
                  <w:pPr>
                    <w:pStyle w:val="40"/>
                    <w:spacing w:before="112" w:line="206" w:lineRule="auto"/>
                    <w:ind w:left="295"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0.54</w:t>
                  </w:r>
                </w:p>
              </w:tc>
              <w:tc>
                <w:tcPr>
                  <w:tcW w:w="642" w:type="pct"/>
                  <w:tcBorders>
                    <w:tl2br w:val="nil"/>
                    <w:tr2bl w:val="nil"/>
                  </w:tcBorders>
                  <w:shd w:val="clear" w:color="auto" w:fill="auto"/>
                  <w:noWrap w:val="0"/>
                  <w:vAlign w:val="top"/>
                </w:tcPr>
                <w:p w14:paraId="58F2B529">
                  <w:pPr>
                    <w:pStyle w:val="40"/>
                    <w:spacing w:before="112" w:line="206" w:lineRule="auto"/>
                    <w:ind w:left="307"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0.55</w:t>
                  </w:r>
                </w:p>
              </w:tc>
              <w:tc>
                <w:tcPr>
                  <w:tcW w:w="642" w:type="pct"/>
                  <w:tcBorders>
                    <w:tl2br w:val="nil"/>
                    <w:tr2bl w:val="nil"/>
                  </w:tcBorders>
                  <w:shd w:val="clear" w:color="auto" w:fill="auto"/>
                  <w:noWrap w:val="0"/>
                  <w:vAlign w:val="top"/>
                </w:tcPr>
                <w:p w14:paraId="0C25F103">
                  <w:pPr>
                    <w:pStyle w:val="40"/>
                    <w:spacing w:before="112" w:line="206" w:lineRule="auto"/>
                    <w:ind w:left="299"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0.57</w:t>
                  </w:r>
                </w:p>
              </w:tc>
              <w:tc>
                <w:tcPr>
                  <w:tcW w:w="645" w:type="pct"/>
                  <w:tcBorders>
                    <w:tl2br w:val="nil"/>
                    <w:tr2bl w:val="nil"/>
                  </w:tcBorders>
                  <w:shd w:val="clear" w:color="auto" w:fill="auto"/>
                  <w:noWrap w:val="0"/>
                  <w:vAlign w:val="top"/>
                </w:tcPr>
                <w:p w14:paraId="3D324111">
                  <w:pPr>
                    <w:pStyle w:val="40"/>
                    <w:spacing w:before="112" w:line="206" w:lineRule="auto"/>
                    <w:ind w:left="310" w:leftChars="0" w:firstLine="0" w:firstLineChars="0"/>
                    <w:jc w:val="both"/>
                    <w:rPr>
                      <w:rFonts w:hint="default" w:ascii="Times New Roman" w:hAnsi="Times New Roman" w:eastAsia="宋体" w:cs="Times New Roman"/>
                      <w:kern w:val="2"/>
                      <w:sz w:val="21"/>
                      <w:szCs w:val="21"/>
                      <w:highlight w:val="none"/>
                      <w:lang w:val="en-US" w:eastAsia="zh-CN" w:bidi="ar-SA"/>
                    </w:rPr>
                  </w:pPr>
                  <w:r>
                    <w:rPr>
                      <w:spacing w:val="-3"/>
                      <w:highlight w:val="none"/>
                    </w:rPr>
                    <w:t>0.54</w:t>
                  </w:r>
                </w:p>
              </w:tc>
            </w:tr>
            <w:tr w14:paraId="7C016EB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37" w:type="dxa"/>
                  <w:tcBorders>
                    <w:tl2br w:val="nil"/>
                    <w:tr2bl w:val="nil"/>
                  </w:tcBorders>
                  <w:noWrap w:val="0"/>
                  <w:vAlign w:val="center"/>
                </w:tcPr>
                <w:p w14:paraId="744FD8DC">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b w:val="0"/>
                      <w:bCs w:val="0"/>
                      <w:sz w:val="21"/>
                      <w:szCs w:val="21"/>
                      <w:highlight w:val="none"/>
                      <w:vertAlign w:val="baseline"/>
                      <w:lang w:val="en-US" w:eastAsia="zh-CN"/>
                    </w:rPr>
                    <w:t>检测项目</w:t>
                  </w:r>
                </w:p>
              </w:tc>
              <w:tc>
                <w:tcPr>
                  <w:tcW w:w="984" w:type="dxa"/>
                  <w:tcBorders>
                    <w:tl2br w:val="nil"/>
                    <w:tr2bl w:val="nil"/>
                  </w:tcBorders>
                  <w:shd w:val="clear" w:color="auto" w:fill="auto"/>
                  <w:noWrap w:val="0"/>
                  <w:vAlign w:val="center"/>
                </w:tcPr>
                <w:p w14:paraId="5E9E8057">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检测点位</w:t>
                  </w:r>
                </w:p>
              </w:tc>
              <w:tc>
                <w:tcPr>
                  <w:tcW w:w="1928" w:type="pct"/>
                  <w:gridSpan w:val="3"/>
                  <w:tcBorders>
                    <w:tl2br w:val="nil"/>
                    <w:tr2bl w:val="nil"/>
                  </w:tcBorders>
                  <w:noWrap w:val="0"/>
                  <w:vAlign w:val="center"/>
                </w:tcPr>
                <w:p w14:paraId="78A7555B">
                  <w:pPr>
                    <w:jc w:val="center"/>
                    <w:rPr>
                      <w:rFonts w:hint="default" w:ascii="Times New Roman" w:hAnsi="Times New Roman" w:eastAsia="宋体" w:cs="Times New Roman"/>
                      <w:color w:val="000000"/>
                      <w:kern w:val="0"/>
                      <w:sz w:val="21"/>
                      <w:szCs w:val="21"/>
                      <w:highlight w:val="none"/>
                      <w:lang w:val="en-US"/>
                    </w:rPr>
                  </w:pPr>
                  <w:r>
                    <w:rPr>
                      <w:rFonts w:hint="default" w:ascii="Times New Roman" w:hAnsi="Times New Roman" w:eastAsia="宋体" w:cs="Times New Roman"/>
                      <w:b w:val="0"/>
                      <w:bCs w:val="0"/>
                      <w:color w:val="auto"/>
                      <w:kern w:val="2"/>
                      <w:sz w:val="21"/>
                      <w:szCs w:val="21"/>
                      <w:highlight w:val="none"/>
                      <w:lang w:val="en-US" w:eastAsia="zh-CN" w:bidi="ar-SA"/>
                    </w:rPr>
                    <w:t>2025.</w:t>
                  </w:r>
                  <w:r>
                    <w:rPr>
                      <w:rFonts w:hint="eastAsia" w:ascii="Times New Roman" w:hAnsi="Times New Roman" w:eastAsia="宋体" w:cs="Times New Roman"/>
                      <w:b w:val="0"/>
                      <w:bCs w:val="0"/>
                      <w:color w:val="auto"/>
                      <w:kern w:val="2"/>
                      <w:sz w:val="21"/>
                      <w:szCs w:val="21"/>
                      <w:highlight w:val="none"/>
                      <w:lang w:val="en-US" w:eastAsia="zh-CN" w:bidi="ar-SA"/>
                    </w:rPr>
                    <w:t>10.25</w:t>
                  </w:r>
                </w:p>
              </w:tc>
              <w:tc>
                <w:tcPr>
                  <w:tcW w:w="1930" w:type="pct"/>
                  <w:gridSpan w:val="3"/>
                  <w:tcBorders>
                    <w:tl2br w:val="nil"/>
                    <w:tr2bl w:val="nil"/>
                  </w:tcBorders>
                  <w:noWrap w:val="0"/>
                  <w:vAlign w:val="center"/>
                </w:tcPr>
                <w:p w14:paraId="57706116">
                  <w:pPr>
                    <w:jc w:val="center"/>
                    <w:rPr>
                      <w:rFonts w:hint="default" w:ascii="Times New Roman" w:hAnsi="Times New Roman" w:eastAsia="宋体" w:cs="Times New Roman"/>
                      <w:color w:val="000000"/>
                      <w:kern w:val="0"/>
                      <w:sz w:val="21"/>
                      <w:szCs w:val="21"/>
                      <w:highlight w:val="none"/>
                      <w:lang w:val="en-US"/>
                    </w:rPr>
                  </w:pPr>
                  <w:r>
                    <w:rPr>
                      <w:rFonts w:hint="default" w:ascii="Times New Roman" w:hAnsi="Times New Roman" w:eastAsia="宋体" w:cs="Times New Roman"/>
                      <w:b w:val="0"/>
                      <w:bCs w:val="0"/>
                      <w:color w:val="auto"/>
                      <w:kern w:val="2"/>
                      <w:sz w:val="21"/>
                      <w:szCs w:val="21"/>
                      <w:highlight w:val="none"/>
                      <w:lang w:val="en-US" w:eastAsia="zh-CN" w:bidi="ar-SA"/>
                    </w:rPr>
                    <w:t>2025.</w:t>
                  </w:r>
                  <w:r>
                    <w:rPr>
                      <w:rFonts w:hint="eastAsia" w:ascii="Times New Roman" w:hAnsi="Times New Roman" w:eastAsia="宋体" w:cs="Times New Roman"/>
                      <w:b w:val="0"/>
                      <w:bCs w:val="0"/>
                      <w:color w:val="auto"/>
                      <w:kern w:val="2"/>
                      <w:sz w:val="21"/>
                      <w:szCs w:val="21"/>
                      <w:highlight w:val="none"/>
                      <w:lang w:val="en-US" w:eastAsia="zh-CN" w:bidi="ar-SA"/>
                    </w:rPr>
                    <w:t>10.26</w:t>
                  </w:r>
                </w:p>
              </w:tc>
            </w:tr>
            <w:tr w14:paraId="020F242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1" w:type="pct"/>
                  <w:vMerge w:val="restart"/>
                  <w:tcBorders>
                    <w:tl2br w:val="nil"/>
                    <w:tr2bl w:val="nil"/>
                  </w:tcBorders>
                  <w:noWrap w:val="0"/>
                  <w:vAlign w:val="center"/>
                </w:tcPr>
                <w:p w14:paraId="35B9C2AC">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r>
                    <w:rPr>
                      <w:rFonts w:hint="eastAsia" w:ascii="Times New Roman" w:hAnsi="Times New Roman" w:eastAsia="宋体" w:cs="Times New Roman"/>
                      <w:sz w:val="21"/>
                      <w:szCs w:val="21"/>
                      <w:highlight w:val="none"/>
                      <w:lang w:val="en-US" w:eastAsia="zh-CN"/>
                    </w:rPr>
                    <w:t>甲醇</w:t>
                  </w:r>
                </w:p>
              </w:tc>
              <w:tc>
                <w:tcPr>
                  <w:tcW w:w="529" w:type="pct"/>
                  <w:tcBorders>
                    <w:tl2br w:val="nil"/>
                    <w:tr2bl w:val="nil"/>
                  </w:tcBorders>
                  <w:shd w:val="clear" w:color="auto" w:fill="auto"/>
                  <w:noWrap w:val="0"/>
                  <w:vAlign w:val="center"/>
                </w:tcPr>
                <w:p w14:paraId="6D932A84">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上风向</w:t>
                  </w:r>
                  <w:r>
                    <w:rPr>
                      <w:rFonts w:hint="eastAsia" w:ascii="Times New Roman" w:hAnsi="Times New Roman" w:eastAsia="宋体" w:cs="Times New Roman"/>
                      <w:b w:val="0"/>
                      <w:bCs w:val="0"/>
                      <w:color w:val="auto"/>
                      <w:sz w:val="21"/>
                      <w:szCs w:val="21"/>
                      <w:highlight w:val="none"/>
                      <w:vertAlign w:val="baseline"/>
                      <w:lang w:val="en-US" w:eastAsia="zh-CN"/>
                    </w:rPr>
                    <w:t>01</w:t>
                  </w:r>
                </w:p>
              </w:tc>
              <w:tc>
                <w:tcPr>
                  <w:tcW w:w="642" w:type="pct"/>
                  <w:tcBorders>
                    <w:tl2br w:val="nil"/>
                    <w:tr2bl w:val="nil"/>
                  </w:tcBorders>
                  <w:noWrap w:val="0"/>
                  <w:vAlign w:val="center"/>
                </w:tcPr>
                <w:p w14:paraId="12721A21">
                  <w:pPr>
                    <w:jc w:val="center"/>
                    <w:rPr>
                      <w:rFonts w:hint="default" w:ascii="Times New Roman" w:hAnsi="Times New Roman" w:eastAsia="宋体" w:cs="Times New Roman"/>
                      <w:spacing w:val="-2"/>
                      <w:sz w:val="21"/>
                      <w:szCs w:val="21"/>
                      <w:highlight w:val="none"/>
                      <w:lang w:val="en-US"/>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2" w:type="pct"/>
                  <w:tcBorders>
                    <w:tl2br w:val="nil"/>
                    <w:tr2bl w:val="nil"/>
                  </w:tcBorders>
                  <w:noWrap w:val="0"/>
                  <w:vAlign w:val="center"/>
                </w:tcPr>
                <w:p w14:paraId="706D292A">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4" w:type="pct"/>
                  <w:tcBorders>
                    <w:tl2br w:val="nil"/>
                    <w:tr2bl w:val="nil"/>
                  </w:tcBorders>
                  <w:noWrap w:val="0"/>
                  <w:vAlign w:val="center"/>
                </w:tcPr>
                <w:p w14:paraId="0A305EA1">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2" w:type="pct"/>
                  <w:tcBorders>
                    <w:tl2br w:val="nil"/>
                    <w:tr2bl w:val="nil"/>
                  </w:tcBorders>
                  <w:noWrap w:val="0"/>
                  <w:vAlign w:val="center"/>
                </w:tcPr>
                <w:p w14:paraId="0168EBCB">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2" w:type="pct"/>
                  <w:tcBorders>
                    <w:tl2br w:val="nil"/>
                    <w:tr2bl w:val="nil"/>
                  </w:tcBorders>
                  <w:noWrap w:val="0"/>
                  <w:vAlign w:val="center"/>
                </w:tcPr>
                <w:p w14:paraId="38ADBE4A">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5" w:type="pct"/>
                  <w:tcBorders>
                    <w:tl2br w:val="nil"/>
                    <w:tr2bl w:val="nil"/>
                  </w:tcBorders>
                  <w:noWrap w:val="0"/>
                  <w:vAlign w:val="center"/>
                </w:tcPr>
                <w:p w14:paraId="15D46121">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r>
            <w:tr w14:paraId="26BAF83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1" w:type="pct"/>
                  <w:vMerge w:val="continue"/>
                  <w:tcBorders>
                    <w:tl2br w:val="nil"/>
                    <w:tr2bl w:val="nil"/>
                  </w:tcBorders>
                  <w:noWrap w:val="0"/>
                  <w:vAlign w:val="center"/>
                </w:tcPr>
                <w:p w14:paraId="319CDAE1">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29" w:type="pct"/>
                  <w:tcBorders>
                    <w:tl2br w:val="nil"/>
                    <w:tr2bl w:val="nil"/>
                  </w:tcBorders>
                  <w:shd w:val="clear" w:color="auto" w:fill="auto"/>
                  <w:noWrap w:val="0"/>
                  <w:vAlign w:val="center"/>
                </w:tcPr>
                <w:p w14:paraId="496EEF12">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下风向</w:t>
                  </w:r>
                  <w:r>
                    <w:rPr>
                      <w:rFonts w:hint="eastAsia" w:ascii="Times New Roman" w:hAnsi="Times New Roman" w:eastAsia="宋体" w:cs="Times New Roman"/>
                      <w:b w:val="0"/>
                      <w:bCs w:val="0"/>
                      <w:color w:val="auto"/>
                      <w:sz w:val="21"/>
                      <w:szCs w:val="21"/>
                      <w:highlight w:val="none"/>
                      <w:vertAlign w:val="baseline"/>
                      <w:lang w:val="en-US" w:eastAsia="zh-CN"/>
                    </w:rPr>
                    <w:t>02</w:t>
                  </w:r>
                </w:p>
              </w:tc>
              <w:tc>
                <w:tcPr>
                  <w:tcW w:w="642" w:type="pct"/>
                  <w:tcBorders>
                    <w:tl2br w:val="nil"/>
                    <w:tr2bl w:val="nil"/>
                  </w:tcBorders>
                  <w:noWrap w:val="0"/>
                  <w:vAlign w:val="center"/>
                </w:tcPr>
                <w:p w14:paraId="124F515E">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2" w:type="pct"/>
                  <w:tcBorders>
                    <w:tl2br w:val="nil"/>
                    <w:tr2bl w:val="nil"/>
                  </w:tcBorders>
                  <w:noWrap w:val="0"/>
                  <w:vAlign w:val="center"/>
                </w:tcPr>
                <w:p w14:paraId="584DC732">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4" w:type="pct"/>
                  <w:tcBorders>
                    <w:tl2br w:val="nil"/>
                    <w:tr2bl w:val="nil"/>
                  </w:tcBorders>
                  <w:noWrap w:val="0"/>
                  <w:vAlign w:val="center"/>
                </w:tcPr>
                <w:p w14:paraId="39EC7DBE">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2" w:type="pct"/>
                  <w:tcBorders>
                    <w:tl2br w:val="nil"/>
                    <w:tr2bl w:val="nil"/>
                  </w:tcBorders>
                  <w:noWrap w:val="0"/>
                  <w:vAlign w:val="center"/>
                </w:tcPr>
                <w:p w14:paraId="2293C981">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2" w:type="pct"/>
                  <w:tcBorders>
                    <w:tl2br w:val="nil"/>
                    <w:tr2bl w:val="nil"/>
                  </w:tcBorders>
                  <w:noWrap w:val="0"/>
                  <w:vAlign w:val="center"/>
                </w:tcPr>
                <w:p w14:paraId="2674E591">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5" w:type="pct"/>
                  <w:tcBorders>
                    <w:tl2br w:val="nil"/>
                    <w:tr2bl w:val="nil"/>
                  </w:tcBorders>
                  <w:noWrap w:val="0"/>
                  <w:vAlign w:val="center"/>
                </w:tcPr>
                <w:p w14:paraId="1D5F0209">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r>
            <w:tr w14:paraId="7D48279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1" w:type="pct"/>
                  <w:vMerge w:val="continue"/>
                  <w:tcBorders>
                    <w:tl2br w:val="nil"/>
                    <w:tr2bl w:val="nil"/>
                  </w:tcBorders>
                  <w:noWrap w:val="0"/>
                  <w:vAlign w:val="center"/>
                </w:tcPr>
                <w:p w14:paraId="2140E481">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29" w:type="pct"/>
                  <w:tcBorders>
                    <w:tl2br w:val="nil"/>
                    <w:tr2bl w:val="nil"/>
                  </w:tcBorders>
                  <w:shd w:val="clear" w:color="auto" w:fill="auto"/>
                  <w:noWrap w:val="0"/>
                  <w:vAlign w:val="center"/>
                </w:tcPr>
                <w:p w14:paraId="2E092FCB">
                  <w:pPr>
                    <w:keepNext w:val="0"/>
                    <w:keepLines w:val="0"/>
                    <w:pageBreakBefore w:val="0"/>
                    <w:widowControl/>
                    <w:kinsoku/>
                    <w:wordWrap/>
                    <w:overflowPunct/>
                    <w:topLinePunct w:val="0"/>
                    <w:autoSpaceDE/>
                    <w:autoSpaceDN/>
                    <w:bidi w:val="0"/>
                    <w:ind w:left="-105" w:leftChars="-50" w:right="-105" w:rightChars="-50"/>
                    <w:jc w:val="both"/>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下风向</w:t>
                  </w:r>
                  <w:r>
                    <w:rPr>
                      <w:rFonts w:hint="eastAsia" w:ascii="Times New Roman" w:hAnsi="Times New Roman" w:eastAsia="宋体" w:cs="Times New Roman"/>
                      <w:b w:val="0"/>
                      <w:bCs w:val="0"/>
                      <w:color w:val="auto"/>
                      <w:sz w:val="21"/>
                      <w:szCs w:val="21"/>
                      <w:highlight w:val="none"/>
                      <w:vertAlign w:val="baseline"/>
                      <w:lang w:val="en-US" w:eastAsia="zh-CN"/>
                    </w:rPr>
                    <w:t>03</w:t>
                  </w:r>
                </w:p>
              </w:tc>
              <w:tc>
                <w:tcPr>
                  <w:tcW w:w="642" w:type="pct"/>
                  <w:tcBorders>
                    <w:tl2br w:val="nil"/>
                    <w:tr2bl w:val="nil"/>
                  </w:tcBorders>
                  <w:noWrap w:val="0"/>
                  <w:vAlign w:val="center"/>
                </w:tcPr>
                <w:p w14:paraId="057ECEA8">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2" w:type="pct"/>
                  <w:tcBorders>
                    <w:tl2br w:val="nil"/>
                    <w:tr2bl w:val="nil"/>
                  </w:tcBorders>
                  <w:noWrap w:val="0"/>
                  <w:vAlign w:val="center"/>
                </w:tcPr>
                <w:p w14:paraId="5DE9AF2A">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4" w:type="pct"/>
                  <w:tcBorders>
                    <w:tl2br w:val="nil"/>
                    <w:tr2bl w:val="nil"/>
                  </w:tcBorders>
                  <w:noWrap w:val="0"/>
                  <w:vAlign w:val="center"/>
                </w:tcPr>
                <w:p w14:paraId="360C7135">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2" w:type="pct"/>
                  <w:tcBorders>
                    <w:tl2br w:val="nil"/>
                    <w:tr2bl w:val="nil"/>
                  </w:tcBorders>
                  <w:noWrap w:val="0"/>
                  <w:vAlign w:val="center"/>
                </w:tcPr>
                <w:p w14:paraId="3B999A89">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2" w:type="pct"/>
                  <w:tcBorders>
                    <w:tl2br w:val="nil"/>
                    <w:tr2bl w:val="nil"/>
                  </w:tcBorders>
                  <w:noWrap w:val="0"/>
                  <w:vAlign w:val="center"/>
                </w:tcPr>
                <w:p w14:paraId="7C29A7DF">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5" w:type="pct"/>
                  <w:tcBorders>
                    <w:tl2br w:val="nil"/>
                    <w:tr2bl w:val="nil"/>
                  </w:tcBorders>
                  <w:noWrap w:val="0"/>
                  <w:vAlign w:val="center"/>
                </w:tcPr>
                <w:p w14:paraId="4DF8D11D">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r>
            <w:tr w14:paraId="5A749C8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1" w:type="pct"/>
                  <w:vMerge w:val="continue"/>
                  <w:tcBorders>
                    <w:tl2br w:val="nil"/>
                    <w:tr2bl w:val="nil"/>
                  </w:tcBorders>
                  <w:noWrap w:val="0"/>
                  <w:vAlign w:val="center"/>
                </w:tcPr>
                <w:p w14:paraId="63839BDA">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29" w:type="pct"/>
                  <w:tcBorders>
                    <w:tl2br w:val="nil"/>
                    <w:tr2bl w:val="nil"/>
                  </w:tcBorders>
                  <w:shd w:val="clear" w:color="auto" w:fill="auto"/>
                  <w:noWrap w:val="0"/>
                  <w:vAlign w:val="center"/>
                </w:tcPr>
                <w:p w14:paraId="4F6AA1CD">
                  <w:pPr>
                    <w:keepNext w:val="0"/>
                    <w:keepLines w:val="0"/>
                    <w:pageBreakBefore w:val="0"/>
                    <w:widowControl/>
                    <w:kinsoku/>
                    <w:wordWrap/>
                    <w:overflowPunct/>
                    <w:topLinePunct w:val="0"/>
                    <w:autoSpaceDE/>
                    <w:autoSpaceDN/>
                    <w:bidi w:val="0"/>
                    <w:ind w:right="-105" w:rightChars="-50"/>
                    <w:jc w:val="both"/>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下风向</w:t>
                  </w:r>
                  <w:r>
                    <w:rPr>
                      <w:rFonts w:hint="eastAsia" w:ascii="Times New Roman" w:hAnsi="Times New Roman" w:eastAsia="宋体" w:cs="Times New Roman"/>
                      <w:b w:val="0"/>
                      <w:bCs w:val="0"/>
                      <w:color w:val="auto"/>
                      <w:sz w:val="21"/>
                      <w:szCs w:val="21"/>
                      <w:highlight w:val="none"/>
                      <w:vertAlign w:val="baseline"/>
                      <w:lang w:val="en-US" w:eastAsia="zh-CN"/>
                    </w:rPr>
                    <w:t>04</w:t>
                  </w:r>
                </w:p>
              </w:tc>
              <w:tc>
                <w:tcPr>
                  <w:tcW w:w="642" w:type="pct"/>
                  <w:tcBorders>
                    <w:tl2br w:val="nil"/>
                    <w:tr2bl w:val="nil"/>
                  </w:tcBorders>
                  <w:noWrap w:val="0"/>
                  <w:vAlign w:val="center"/>
                </w:tcPr>
                <w:p w14:paraId="1A6E1439">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2" w:type="pct"/>
                  <w:tcBorders>
                    <w:tl2br w:val="nil"/>
                    <w:tr2bl w:val="nil"/>
                  </w:tcBorders>
                  <w:noWrap w:val="0"/>
                  <w:vAlign w:val="center"/>
                </w:tcPr>
                <w:p w14:paraId="75E23B30">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4" w:type="pct"/>
                  <w:tcBorders>
                    <w:tl2br w:val="nil"/>
                    <w:tr2bl w:val="nil"/>
                  </w:tcBorders>
                  <w:noWrap w:val="0"/>
                  <w:vAlign w:val="center"/>
                </w:tcPr>
                <w:p w14:paraId="58CA8570">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2" w:type="pct"/>
                  <w:tcBorders>
                    <w:tl2br w:val="nil"/>
                    <w:tr2bl w:val="nil"/>
                  </w:tcBorders>
                  <w:noWrap w:val="0"/>
                  <w:vAlign w:val="center"/>
                </w:tcPr>
                <w:p w14:paraId="59686C9A">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2" w:type="pct"/>
                  <w:tcBorders>
                    <w:tl2br w:val="nil"/>
                    <w:tr2bl w:val="nil"/>
                  </w:tcBorders>
                  <w:noWrap w:val="0"/>
                  <w:vAlign w:val="center"/>
                </w:tcPr>
                <w:p w14:paraId="70412C34">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5" w:type="pct"/>
                  <w:tcBorders>
                    <w:tl2br w:val="nil"/>
                    <w:tr2bl w:val="nil"/>
                  </w:tcBorders>
                  <w:noWrap w:val="0"/>
                  <w:vAlign w:val="center"/>
                </w:tcPr>
                <w:p w14:paraId="51339FF8">
                  <w:pPr>
                    <w:jc w:val="center"/>
                    <w:rPr>
                      <w:rFonts w:hint="default" w:ascii="Times New Roman" w:hAnsi="Times New Roman" w:eastAsia="宋体" w:cs="Times New Roman"/>
                      <w:spacing w:val="-2"/>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r>
            <w:tr w14:paraId="15C036A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1" w:type="pct"/>
                  <w:tcBorders>
                    <w:tl2br w:val="nil"/>
                    <w:tr2bl w:val="nil"/>
                  </w:tcBorders>
                  <w:noWrap w:val="0"/>
                  <w:vAlign w:val="center"/>
                </w:tcPr>
                <w:p w14:paraId="2D6A800E">
                  <w:pPr>
                    <w:keepNext w:val="0"/>
                    <w:keepLines w:val="0"/>
                    <w:pageBreakBefore w:val="0"/>
                    <w:widowControl w:val="0"/>
                    <w:kinsoku/>
                    <w:wordWrap/>
                    <w:overflowPunct/>
                    <w:topLinePunct w:val="0"/>
                    <w:autoSpaceDE/>
                    <w:autoSpaceDN/>
                    <w:bidi w:val="0"/>
                    <w:adjustRightInd/>
                    <w:snapToGrid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p>
              </w:tc>
              <w:tc>
                <w:tcPr>
                  <w:tcW w:w="529" w:type="pct"/>
                  <w:tcBorders>
                    <w:tl2br w:val="nil"/>
                    <w:tr2bl w:val="nil"/>
                  </w:tcBorders>
                  <w:shd w:val="clear" w:color="auto" w:fill="auto"/>
                  <w:noWrap w:val="0"/>
                  <w:vAlign w:val="center"/>
                </w:tcPr>
                <w:p w14:paraId="700153F1">
                  <w:pPr>
                    <w:keepNext w:val="0"/>
                    <w:keepLines w:val="0"/>
                    <w:pageBreakBefore w:val="0"/>
                    <w:widowControl/>
                    <w:kinsoku/>
                    <w:wordWrap/>
                    <w:overflowPunct/>
                    <w:topLinePunct w:val="0"/>
                    <w:autoSpaceDE/>
                    <w:autoSpaceDN/>
                    <w:bidi w:val="0"/>
                    <w:ind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b w:val="0"/>
                      <w:bCs w:val="0"/>
                      <w:color w:val="auto"/>
                      <w:sz w:val="21"/>
                      <w:szCs w:val="21"/>
                      <w:highlight w:val="none"/>
                      <w:vertAlign w:val="baseline"/>
                      <w:lang w:val="en-US" w:eastAsia="zh-CN"/>
                    </w:rPr>
                    <w:t>报出值</w:t>
                  </w:r>
                </w:p>
              </w:tc>
              <w:tc>
                <w:tcPr>
                  <w:tcW w:w="642" w:type="pct"/>
                  <w:tcBorders>
                    <w:tl2br w:val="nil"/>
                    <w:tr2bl w:val="nil"/>
                  </w:tcBorders>
                  <w:noWrap w:val="0"/>
                  <w:vAlign w:val="center"/>
                </w:tcPr>
                <w:p w14:paraId="0A9E0448">
                  <w:pPr>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2" w:type="pct"/>
                  <w:tcBorders>
                    <w:tl2br w:val="nil"/>
                    <w:tr2bl w:val="nil"/>
                  </w:tcBorders>
                  <w:noWrap w:val="0"/>
                  <w:vAlign w:val="center"/>
                </w:tcPr>
                <w:p w14:paraId="1A246038">
                  <w:pPr>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4" w:type="pct"/>
                  <w:tcBorders>
                    <w:tl2br w:val="nil"/>
                    <w:tr2bl w:val="nil"/>
                  </w:tcBorders>
                  <w:noWrap w:val="0"/>
                  <w:vAlign w:val="center"/>
                </w:tcPr>
                <w:p w14:paraId="06D07252">
                  <w:pPr>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2" w:type="pct"/>
                  <w:tcBorders>
                    <w:tl2br w:val="nil"/>
                    <w:tr2bl w:val="nil"/>
                  </w:tcBorders>
                  <w:noWrap w:val="0"/>
                  <w:vAlign w:val="center"/>
                </w:tcPr>
                <w:p w14:paraId="4D07A249">
                  <w:pPr>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2" w:type="pct"/>
                  <w:tcBorders>
                    <w:tl2br w:val="nil"/>
                    <w:tr2bl w:val="nil"/>
                  </w:tcBorders>
                  <w:noWrap w:val="0"/>
                  <w:vAlign w:val="center"/>
                </w:tcPr>
                <w:p w14:paraId="7C9AFC13">
                  <w:pPr>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c>
                <w:tcPr>
                  <w:tcW w:w="645" w:type="pct"/>
                  <w:tcBorders>
                    <w:tl2br w:val="nil"/>
                    <w:tr2bl w:val="nil"/>
                  </w:tcBorders>
                  <w:noWrap w:val="0"/>
                  <w:vAlign w:val="center"/>
                </w:tcPr>
                <w:p w14:paraId="4AC28744">
                  <w:pPr>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w:t>
                  </w:r>
                  <w:r>
                    <w:rPr>
                      <w:rFonts w:hint="eastAsia" w:ascii="Times New Roman" w:hAnsi="Times New Roman" w:eastAsia="宋体" w:cs="Times New Roman"/>
                      <w:color w:val="000000"/>
                      <w:kern w:val="0"/>
                      <w:sz w:val="21"/>
                      <w:szCs w:val="21"/>
                      <w:highlight w:val="none"/>
                      <w:lang w:val="en-US" w:eastAsia="zh-CN"/>
                    </w:rPr>
                    <w:t>0.4</w:t>
                  </w:r>
                </w:p>
              </w:tc>
            </w:tr>
            <w:tr w14:paraId="0825DDA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40" w:type="pct"/>
                  <w:gridSpan w:val="2"/>
                  <w:tcBorders>
                    <w:tl2br w:val="nil"/>
                    <w:tr2bl w:val="nil"/>
                  </w:tcBorders>
                  <w:noWrap w:val="0"/>
                  <w:vAlign w:val="center"/>
                </w:tcPr>
                <w:p w14:paraId="3D8828B7">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执行标准《大气污染物综合排放标准》（DB 11/501-2017）中的表3</w:t>
                  </w:r>
                </w:p>
              </w:tc>
              <w:tc>
                <w:tcPr>
                  <w:tcW w:w="3859" w:type="pct"/>
                  <w:gridSpan w:val="6"/>
                  <w:tcBorders>
                    <w:tl2br w:val="nil"/>
                    <w:tr2bl w:val="nil"/>
                  </w:tcBorders>
                  <w:shd w:val="clear" w:color="auto" w:fill="auto"/>
                  <w:noWrap w:val="0"/>
                  <w:vAlign w:val="center"/>
                </w:tcPr>
                <w:p w14:paraId="147FE270">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eastAsia" w:ascii="Times New Roman" w:hAnsi="Times New Roman" w:eastAsia="宋体" w:cs="Times New Roman"/>
                      <w:b w:val="0"/>
                      <w:bCs w:val="0"/>
                      <w:sz w:val="21"/>
                      <w:szCs w:val="21"/>
                      <w:highlight w:val="none"/>
                      <w:vertAlign w:val="baseline"/>
                      <w:lang w:val="en-US" w:eastAsia="zh-CN"/>
                    </w:rPr>
                    <w:t>氯</w:t>
                  </w:r>
                  <w:r>
                    <w:rPr>
                      <w:rFonts w:hint="default" w:ascii="Times New Roman" w:hAnsi="Times New Roman" w:eastAsia="宋体" w:cs="Times New Roman"/>
                      <w:b w:val="0"/>
                      <w:bCs w:val="0"/>
                      <w:sz w:val="21"/>
                      <w:szCs w:val="21"/>
                      <w:highlight w:val="none"/>
                      <w:vertAlign w:val="baseline"/>
                      <w:lang w:val="en-US" w:eastAsia="zh-CN"/>
                    </w:rPr>
                    <w:t>化氢</w:t>
                  </w:r>
                  <w:r>
                    <w:rPr>
                      <w:rFonts w:hint="eastAsia" w:ascii="Times New Roman" w:hAnsi="Times New Roman" w:eastAsia="宋体" w:cs="Times New Roman"/>
                      <w:b w:val="0"/>
                      <w:bCs w:val="0"/>
                      <w:sz w:val="21"/>
                      <w:szCs w:val="21"/>
                      <w:highlight w:val="none"/>
                      <w:vertAlign w:val="baseline"/>
                      <w:lang w:val="en-US" w:eastAsia="zh-CN"/>
                    </w:rPr>
                    <w:t>0.01</w:t>
                  </w:r>
                  <w:r>
                    <w:rPr>
                      <w:rFonts w:hint="default" w:ascii="Times New Roman" w:hAnsi="Times New Roman" w:eastAsia="宋体" w:cs="Times New Roman"/>
                      <w:color w:val="000000"/>
                      <w:sz w:val="21"/>
                      <w:szCs w:val="21"/>
                      <w:highlight w:val="none"/>
                    </w:rPr>
                    <w:t>mg/m</w:t>
                  </w:r>
                  <w:r>
                    <w:rPr>
                      <w:rFonts w:hint="default" w:ascii="Times New Roman" w:hAnsi="Times New Roman" w:eastAsia="宋体" w:cs="Times New Roman"/>
                      <w:color w:val="000000"/>
                      <w:sz w:val="21"/>
                      <w:szCs w:val="21"/>
                      <w:highlight w:val="none"/>
                      <w:vertAlign w:val="superscript"/>
                    </w:rPr>
                    <w:t>3</w:t>
                  </w:r>
                  <w:r>
                    <w:rPr>
                      <w:rFonts w:hint="default" w:ascii="Times New Roman" w:hAnsi="Times New Roman" w:eastAsia="宋体" w:cs="Times New Roman"/>
                      <w:b w:val="0"/>
                      <w:bCs w:val="0"/>
                      <w:sz w:val="21"/>
                      <w:szCs w:val="21"/>
                      <w:highlight w:val="none"/>
                      <w:vertAlign w:val="baseline"/>
                      <w:lang w:val="en-US" w:eastAsia="zh-CN"/>
                    </w:rPr>
                    <w:t>、</w:t>
                  </w:r>
                  <w:r>
                    <w:rPr>
                      <w:rFonts w:hint="eastAsia" w:ascii="Times New Roman" w:hAnsi="Times New Roman" w:eastAsia="宋体" w:cs="Times New Roman"/>
                      <w:sz w:val="21"/>
                      <w:szCs w:val="21"/>
                      <w:highlight w:val="none"/>
                      <w:lang w:val="en-US" w:eastAsia="zh-CN"/>
                    </w:rPr>
                    <w:t>非甲烷总烃1.0</w:t>
                  </w:r>
                  <w:r>
                    <w:rPr>
                      <w:rFonts w:hint="default" w:ascii="Times New Roman" w:hAnsi="Times New Roman" w:eastAsia="宋体" w:cs="Times New Roman"/>
                      <w:color w:val="000000"/>
                      <w:sz w:val="21"/>
                      <w:szCs w:val="21"/>
                      <w:highlight w:val="none"/>
                    </w:rPr>
                    <w:t>mg/m</w:t>
                  </w:r>
                  <w:r>
                    <w:rPr>
                      <w:rFonts w:hint="default" w:ascii="Times New Roman" w:hAnsi="Times New Roman" w:eastAsia="宋体" w:cs="Times New Roman"/>
                      <w:color w:val="000000"/>
                      <w:sz w:val="21"/>
                      <w:szCs w:val="21"/>
                      <w:highlight w:val="none"/>
                      <w:vertAlign w:val="superscript"/>
                    </w:rPr>
                    <w:t>3</w:t>
                  </w:r>
                  <w:r>
                    <w:rPr>
                      <w:rFonts w:hint="eastAsia" w:ascii="Times New Roman" w:hAnsi="Times New Roman" w:eastAsia="宋体" w:cs="Times New Roman"/>
                      <w:sz w:val="21"/>
                      <w:szCs w:val="21"/>
                      <w:highlight w:val="none"/>
                      <w:lang w:val="en-US" w:eastAsia="zh-CN"/>
                    </w:rPr>
                    <w:t>、甲醇0.5</w:t>
                  </w:r>
                  <w:r>
                    <w:rPr>
                      <w:rFonts w:hint="default" w:ascii="Times New Roman" w:hAnsi="Times New Roman" w:eastAsia="宋体" w:cs="Times New Roman"/>
                      <w:color w:val="000000"/>
                      <w:sz w:val="21"/>
                      <w:szCs w:val="21"/>
                      <w:highlight w:val="none"/>
                    </w:rPr>
                    <w:t>mg/m</w:t>
                  </w:r>
                  <w:r>
                    <w:rPr>
                      <w:rFonts w:hint="default" w:ascii="Times New Roman" w:hAnsi="Times New Roman" w:eastAsia="宋体" w:cs="Times New Roman"/>
                      <w:color w:val="000000"/>
                      <w:sz w:val="21"/>
                      <w:szCs w:val="21"/>
                      <w:highlight w:val="none"/>
                      <w:vertAlign w:val="superscript"/>
                    </w:rPr>
                    <w:t>3</w:t>
                  </w:r>
                </w:p>
              </w:tc>
            </w:tr>
            <w:tr w14:paraId="1ABFC45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40" w:type="pct"/>
                  <w:gridSpan w:val="2"/>
                  <w:tcBorders>
                    <w:tl2br w:val="nil"/>
                    <w:tr2bl w:val="nil"/>
                  </w:tcBorders>
                  <w:noWrap w:val="0"/>
                  <w:vAlign w:val="center"/>
                </w:tcPr>
                <w:p w14:paraId="6F04709B">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达标情况</w:t>
                  </w:r>
                </w:p>
              </w:tc>
              <w:tc>
                <w:tcPr>
                  <w:tcW w:w="1928" w:type="pct"/>
                  <w:gridSpan w:val="3"/>
                  <w:tcBorders>
                    <w:tl2br w:val="nil"/>
                    <w:tr2bl w:val="nil"/>
                  </w:tcBorders>
                  <w:noWrap w:val="0"/>
                  <w:vAlign w:val="center"/>
                </w:tcPr>
                <w:p w14:paraId="526870B7">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达标</w:t>
                  </w:r>
                </w:p>
              </w:tc>
              <w:tc>
                <w:tcPr>
                  <w:tcW w:w="1930" w:type="pct"/>
                  <w:gridSpan w:val="3"/>
                  <w:tcBorders>
                    <w:tl2br w:val="nil"/>
                    <w:tr2bl w:val="nil"/>
                  </w:tcBorders>
                  <w:noWrap w:val="0"/>
                  <w:vAlign w:val="center"/>
                </w:tcPr>
                <w:p w14:paraId="75B823F2">
                  <w:pPr>
                    <w:keepNext w:val="0"/>
                    <w:keepLines w:val="0"/>
                    <w:pageBreakBefore w:val="0"/>
                    <w:widowControl/>
                    <w:kinsoku/>
                    <w:wordWrap/>
                    <w:overflowPunct/>
                    <w:topLinePunct w:val="0"/>
                    <w:autoSpaceDE/>
                    <w:autoSpaceDN/>
                    <w:bidi w:val="0"/>
                    <w:ind w:left="-105" w:leftChars="-50" w:right="-105" w:rightChars="-50"/>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达标</w:t>
                  </w:r>
                </w:p>
              </w:tc>
            </w:tr>
          </w:tbl>
          <w:p w14:paraId="395FAC4A">
            <w:pPr>
              <w:spacing w:line="360" w:lineRule="auto"/>
              <w:rPr>
                <w:rFonts w:hint="default" w:ascii="Times New Roman" w:hAnsi="Times New Roman" w:eastAsia="宋体" w:cs="Times New Roman"/>
                <w:sz w:val="24"/>
                <w:szCs w:val="24"/>
              </w:rPr>
            </w:pPr>
          </w:p>
          <w:p w14:paraId="5D4366DF">
            <w:pPr>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rPr>
              <w:t>由表</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7-</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7-</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的</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检测</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结果分析可知：</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本项目</w:t>
            </w:r>
            <w:r>
              <w:rPr>
                <w:rFonts w:hint="eastAsia" w:ascii="Times New Roman" w:hAnsi="Times New Roman" w:cs="Times New Roman"/>
                <w:color w:val="auto"/>
                <w:spacing w:val="2"/>
                <w:sz w:val="24"/>
                <w:szCs w:val="24"/>
                <w:highlight w:val="none"/>
                <w:lang w:val="en-US" w:eastAsia="zh-CN"/>
              </w:rPr>
              <w:t>实验室废气中氯</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化氢、非甲烷总烃和甲醇，检测结果</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均满足</w:t>
            </w:r>
            <w:r>
              <w:rPr>
                <w:rFonts w:hint="eastAsia" w:cs="Times New Roman"/>
                <w:b w:val="0"/>
                <w:bCs w:val="0"/>
                <w:color w:val="000000" w:themeColor="text1"/>
                <w:kern w:val="2"/>
                <w:sz w:val="24"/>
                <w:szCs w:val="24"/>
                <w:lang w:val="en-US" w:eastAsia="zh-CN" w:bidi="ar-SA"/>
                <w14:textFill>
                  <w14:solidFill>
                    <w14:schemeClr w14:val="tx1"/>
                  </w14:solidFill>
                </w14:textFill>
              </w:rPr>
              <w:t>北京市《大气污染物综合</w:t>
            </w:r>
            <w:r>
              <w:rPr>
                <w:rFonts w:hint="eastAsia" w:ascii="Times New Roman" w:hAnsi="Times New Roman" w:eastAsia="宋体" w:cs="Times New Roman"/>
                <w:sz w:val="24"/>
                <w:szCs w:val="24"/>
                <w:lang w:val="en-US" w:eastAsia="zh-CN"/>
              </w:rPr>
              <w:t>排放标准》（DB11/501-2017）表3有关污染物排放浓度要求。因排气筒高度为15m，未高出周边200m 半径范围内的建筑5m 以上，则污染物排放速率按其排放速率限值的50%执行。有组织废气均达标排放。</w:t>
            </w:r>
          </w:p>
          <w:p w14:paraId="1F38EE68">
            <w:p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本项目厂界无组织废气</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中</w:t>
            </w:r>
            <w:r>
              <w:rPr>
                <w:rFonts w:hint="eastAsia" w:ascii="Times New Roman" w:hAnsi="Times New Roman" w:cs="Times New Roman"/>
                <w:color w:val="auto"/>
                <w:spacing w:val="2"/>
                <w:sz w:val="24"/>
                <w:szCs w:val="24"/>
                <w:highlight w:val="none"/>
                <w:lang w:val="en-US" w:eastAsia="zh-CN"/>
              </w:rPr>
              <w:t>氯</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化氢、非甲烷总烃和甲醇浓度均</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满足</w:t>
            </w:r>
            <w:r>
              <w:rPr>
                <w:rFonts w:hint="default" w:ascii="Times New Roman" w:hAnsi="Times New Roman" w:cs="Times New Roman"/>
                <w:color w:val="auto"/>
                <w:sz w:val="24"/>
                <w:szCs w:val="24"/>
                <w:lang w:val="en-US" w:eastAsia="zh-CN"/>
              </w:rPr>
              <w:t>北京市</w:t>
            </w:r>
            <w:r>
              <w:rPr>
                <w:rFonts w:hint="default" w:ascii="Times New Roman" w:hAnsi="Times New Roman" w:eastAsia="宋体" w:cs="Times New Roman"/>
                <w:color w:val="auto"/>
                <w:sz w:val="24"/>
                <w:szCs w:val="24"/>
              </w:rPr>
              <w:t>《大</w:t>
            </w:r>
            <w:r>
              <w:rPr>
                <w:rFonts w:hint="default" w:ascii="Times New Roman" w:hAnsi="Times New Roman" w:eastAsia="宋体" w:cs="Times New Roman"/>
                <w:sz w:val="24"/>
                <w:szCs w:val="24"/>
              </w:rPr>
              <w:t>气污染物综合排放标准》（DB 11/501-2017）表3</w:t>
            </w:r>
            <w:r>
              <w:rPr>
                <w:rFonts w:hint="eastAsia" w:ascii="Times New Roman" w:hAnsi="Times New Roman" w:eastAsia="宋体" w:cs="Times New Roman"/>
                <w:sz w:val="24"/>
                <w:szCs w:val="24"/>
                <w:lang w:val="en-US" w:eastAsia="zh-CN"/>
              </w:rPr>
              <w:t>要求。无组织废气达标排放。</w:t>
            </w:r>
          </w:p>
          <w:p w14:paraId="6E7F69ED">
            <w:pPr>
              <w:pStyle w:val="3"/>
              <w:ind w:firstLine="482" w:firstLineChars="200"/>
              <w:rPr>
                <w:rFonts w:hint="default" w:ascii="Times New Roman" w:hAnsi="Times New Roman" w:cs="Times New Roman"/>
                <w:szCs w:val="24"/>
              </w:rPr>
            </w:pPr>
            <w:r>
              <w:rPr>
                <w:rFonts w:hint="eastAsia" w:ascii="Times New Roman" w:hAnsi="Times New Roman" w:cs="Times New Roman"/>
                <w:szCs w:val="24"/>
                <w:lang w:val="en-US" w:eastAsia="zh-CN"/>
              </w:rPr>
              <w:t>二</w:t>
            </w:r>
            <w:r>
              <w:rPr>
                <w:rFonts w:hint="default" w:ascii="Times New Roman" w:hAnsi="Times New Roman" w:cs="Times New Roman"/>
                <w:szCs w:val="24"/>
              </w:rPr>
              <w:t>、废水</w:t>
            </w:r>
          </w:p>
          <w:p w14:paraId="01E7D3F1">
            <w:pPr>
              <w:keepNext w:val="0"/>
              <w:keepLines w:val="0"/>
              <w:pageBreakBefore w:val="0"/>
              <w:kinsoku/>
              <w:wordWrap/>
              <w:overflowPunct/>
              <w:topLinePunct w:val="0"/>
              <w:autoSpaceDE/>
              <w:autoSpaceDN/>
              <w:bidi w:val="0"/>
              <w:adjustRightInd w:val="0"/>
              <w:snapToGrid w:val="0"/>
              <w:spacing w:line="240" w:lineRule="auto"/>
              <w:jc w:val="left"/>
              <w:textAlignment w:val="auto"/>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根据中谱（北京）测试科技有限公司出具的本项目检测报告</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rPr>
              <w:t>本项目综合废水监测结果见表7-</w:t>
            </w:r>
            <w:r>
              <w:rPr>
                <w:rFonts w:hint="eastAsia"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w:t>
            </w:r>
          </w:p>
          <w:tbl>
            <w:tblPr>
              <w:tblStyle w:val="29"/>
              <w:tblpPr w:leftFromText="180" w:rightFromText="180" w:vertAnchor="text" w:horzAnchor="page" w:tblpX="48" w:tblpY="450"/>
              <w:tblOverlap w:val="never"/>
              <w:tblW w:w="9139"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859"/>
              <w:gridCol w:w="1174"/>
              <w:gridCol w:w="1871"/>
              <w:gridCol w:w="1609"/>
              <w:gridCol w:w="1206"/>
              <w:gridCol w:w="1202"/>
              <w:gridCol w:w="1218"/>
            </w:tblGrid>
            <w:tr w14:paraId="63C68DD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48" w:hRule="atLeast"/>
                <w:tblHeader/>
              </w:trPr>
              <w:tc>
                <w:tcPr>
                  <w:tcW w:w="2033" w:type="dxa"/>
                  <w:gridSpan w:val="2"/>
                  <w:vMerge w:val="restart"/>
                  <w:vAlign w:val="center"/>
                </w:tcPr>
                <w:p w14:paraId="1F3704FA">
                  <w:pPr>
                    <w:keepNext w:val="0"/>
                    <w:keepLines w:val="0"/>
                    <w:pageBreakBefore w:val="0"/>
                    <w:widowControl/>
                    <w:kinsoku/>
                    <w:wordWrap/>
                    <w:overflowPunct/>
                    <w:topLinePunct w:val="0"/>
                    <w:autoSpaceDE/>
                    <w:autoSpaceDN/>
                    <w:bidi w:val="0"/>
                    <w:spacing w:line="240" w:lineRule="auto"/>
                    <w:jc w:val="center"/>
                    <w:textAlignment w:val="auto"/>
                    <w:rPr>
                      <w:rFonts w:hint="default" w:ascii="Times New Roman" w:hAnsi="Times New Roman" w:eastAsia="宋体" w:cs="Times New Roman"/>
                      <w:b/>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b/>
                      <w:color w:val="000000" w:themeColor="text1"/>
                      <w:kern w:val="0"/>
                      <w:sz w:val="21"/>
                      <w:szCs w:val="21"/>
                      <w:lang w:val="en-US" w:eastAsia="zh-CN"/>
                      <w14:textFill>
                        <w14:solidFill>
                          <w14:schemeClr w14:val="tx1"/>
                        </w14:solidFill>
                      </w14:textFill>
                    </w:rPr>
                    <w:t>检测日期</w:t>
                  </w:r>
                </w:p>
              </w:tc>
              <w:tc>
                <w:tcPr>
                  <w:tcW w:w="7106" w:type="dxa"/>
                  <w:gridSpan w:val="5"/>
                  <w:vAlign w:val="center"/>
                </w:tcPr>
                <w:p w14:paraId="1E9629D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b/>
                      <w:color w:val="000000" w:themeColor="text1"/>
                      <w:kern w:val="0"/>
                      <w:sz w:val="21"/>
                      <w:szCs w:val="21"/>
                      <w:highlight w:val="none"/>
                      <w:lang w:val="en-US" w:eastAsia="zh-CN"/>
                      <w14:textFill>
                        <w14:solidFill>
                          <w14:schemeClr w14:val="tx1"/>
                        </w14:solidFill>
                      </w14:textFill>
                    </w:rPr>
                  </w:pPr>
                  <w:r>
                    <w:rPr>
                      <w:rFonts w:hint="default" w:ascii="Times New Roman" w:hAnsi="Times New Roman" w:eastAsia="宋体" w:cs="Times New Roman"/>
                      <w:b/>
                      <w:bCs/>
                      <w:color w:val="000000" w:themeColor="text1"/>
                      <w:sz w:val="21"/>
                      <w:szCs w:val="21"/>
                      <w14:textFill>
                        <w14:solidFill>
                          <w14:schemeClr w14:val="tx1"/>
                        </w14:solidFill>
                      </w14:textFill>
                    </w:rPr>
                    <w:t>监测</w:t>
                  </w:r>
                  <w:r>
                    <w:rPr>
                      <w:rFonts w:hint="default" w:ascii="Times New Roman" w:hAnsi="Times New Roman" w:eastAsia="宋体" w:cs="Times New Roman"/>
                      <w:b/>
                      <w:color w:val="000000" w:themeColor="text1"/>
                      <w:kern w:val="0"/>
                      <w:sz w:val="21"/>
                      <w:szCs w:val="21"/>
                      <w14:textFill>
                        <w14:solidFill>
                          <w14:schemeClr w14:val="tx1"/>
                        </w14:solidFill>
                      </w14:textFill>
                    </w:rPr>
                    <w:t>项目及结果（mg/L）</w:t>
                  </w:r>
                </w:p>
              </w:tc>
            </w:tr>
            <w:tr w14:paraId="085AD43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6" w:hRule="atLeast"/>
                <w:tblHeader/>
              </w:trPr>
              <w:tc>
                <w:tcPr>
                  <w:tcW w:w="2033" w:type="dxa"/>
                  <w:gridSpan w:val="2"/>
                  <w:vMerge w:val="continue"/>
                  <w:vAlign w:val="center"/>
                </w:tcPr>
                <w:p w14:paraId="331A56FF">
                  <w:pPr>
                    <w:keepNext w:val="0"/>
                    <w:keepLines w:val="0"/>
                    <w:pageBreakBefore w:val="0"/>
                    <w:widowControl/>
                    <w:kinsoku/>
                    <w:wordWrap/>
                    <w:overflowPunct/>
                    <w:topLinePunct w:val="0"/>
                    <w:autoSpaceDE/>
                    <w:autoSpaceDN/>
                    <w:bidi w:val="0"/>
                    <w:spacing w:line="240" w:lineRule="auto"/>
                    <w:jc w:val="center"/>
                    <w:textAlignment w:val="auto"/>
                    <w:rPr>
                      <w:rFonts w:hint="default" w:ascii="Times New Roman" w:hAnsi="Times New Roman" w:eastAsia="宋体" w:cs="Times New Roman"/>
                      <w:b/>
                      <w:color w:val="000000" w:themeColor="text1"/>
                      <w:kern w:val="0"/>
                      <w:sz w:val="21"/>
                      <w:szCs w:val="21"/>
                      <w14:textFill>
                        <w14:solidFill>
                          <w14:schemeClr w14:val="tx1"/>
                        </w14:solidFill>
                      </w14:textFill>
                    </w:rPr>
                  </w:pPr>
                </w:p>
              </w:tc>
              <w:tc>
                <w:tcPr>
                  <w:tcW w:w="1871" w:type="dxa"/>
                  <w:vAlign w:val="center"/>
                </w:tcPr>
                <w:p w14:paraId="7E1D302F">
                  <w:pPr>
                    <w:keepNext w:val="0"/>
                    <w:keepLines w:val="0"/>
                    <w:pageBreakBefore w:val="0"/>
                    <w:widowControl/>
                    <w:kinsoku/>
                    <w:wordWrap/>
                    <w:overflowPunct/>
                    <w:topLinePunct w:val="0"/>
                    <w:autoSpaceDE/>
                    <w:autoSpaceDN/>
                    <w:bidi w:val="0"/>
                    <w:spacing w:line="240" w:lineRule="auto"/>
                    <w:jc w:val="center"/>
                    <w:textAlignment w:val="auto"/>
                    <w:rPr>
                      <w:rFonts w:hint="default" w:ascii="Times New Roman" w:hAnsi="Times New Roman" w:eastAsia="宋体" w:cs="Times New Roman"/>
                      <w:b/>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b/>
                      <w:color w:val="000000" w:themeColor="text1"/>
                      <w:kern w:val="0"/>
                      <w:sz w:val="21"/>
                      <w:szCs w:val="21"/>
                      <w:lang w:val="en-US" w:eastAsia="zh-CN"/>
                      <w14:textFill>
                        <w14:solidFill>
                          <w14:schemeClr w14:val="tx1"/>
                        </w14:solidFill>
                      </w14:textFill>
                    </w:rPr>
                    <w:t>五日生化需氧量</w:t>
                  </w:r>
                </w:p>
              </w:tc>
              <w:tc>
                <w:tcPr>
                  <w:tcW w:w="1609" w:type="dxa"/>
                  <w:vAlign w:val="center"/>
                </w:tcPr>
                <w:p w14:paraId="25EAA070">
                  <w:pPr>
                    <w:keepNext w:val="0"/>
                    <w:keepLines w:val="0"/>
                    <w:pageBreakBefore w:val="0"/>
                    <w:widowControl/>
                    <w:kinsoku/>
                    <w:wordWrap/>
                    <w:overflowPunct/>
                    <w:topLinePunct w:val="0"/>
                    <w:autoSpaceDE/>
                    <w:autoSpaceDN/>
                    <w:bidi w:val="0"/>
                    <w:spacing w:line="240" w:lineRule="auto"/>
                    <w:jc w:val="center"/>
                    <w:textAlignment w:val="auto"/>
                    <w:rPr>
                      <w:rFonts w:hint="default" w:ascii="Times New Roman" w:hAnsi="Times New Roman" w:eastAsia="宋体" w:cs="Times New Roman"/>
                      <w:b/>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b/>
                      <w:color w:val="000000" w:themeColor="text1"/>
                      <w:sz w:val="21"/>
                      <w:szCs w:val="21"/>
                      <w:lang w:val="en-US" w:eastAsia="zh-CN"/>
                      <w14:textFill>
                        <w14:solidFill>
                          <w14:schemeClr w14:val="tx1"/>
                        </w14:solidFill>
                      </w14:textFill>
                    </w:rPr>
                    <w:t>化学需氧量</w:t>
                  </w:r>
                </w:p>
              </w:tc>
              <w:tc>
                <w:tcPr>
                  <w:tcW w:w="1206" w:type="dxa"/>
                  <w:vAlign w:val="center"/>
                </w:tcPr>
                <w:p w14:paraId="6B528993">
                  <w:pPr>
                    <w:keepNext w:val="0"/>
                    <w:keepLines w:val="0"/>
                    <w:pageBreakBefore w:val="0"/>
                    <w:widowControl/>
                    <w:kinsoku/>
                    <w:wordWrap/>
                    <w:overflowPunct/>
                    <w:topLinePunct w:val="0"/>
                    <w:autoSpaceDE/>
                    <w:autoSpaceDN/>
                    <w:bidi w:val="0"/>
                    <w:spacing w:line="240" w:lineRule="auto"/>
                    <w:jc w:val="center"/>
                    <w:textAlignment w:val="auto"/>
                    <w:rPr>
                      <w:rFonts w:hint="default" w:ascii="Times New Roman" w:hAnsi="Times New Roman" w:eastAsia="宋体" w:cs="Times New Roman"/>
                      <w:b/>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b/>
                      <w:color w:val="000000" w:themeColor="text1"/>
                      <w:kern w:val="0"/>
                      <w:sz w:val="21"/>
                      <w:szCs w:val="21"/>
                      <w:lang w:val="en-US" w:eastAsia="zh-CN"/>
                      <w14:textFill>
                        <w14:solidFill>
                          <w14:schemeClr w14:val="tx1"/>
                        </w14:solidFill>
                      </w14:textFill>
                    </w:rPr>
                    <w:t>悬浮物</w:t>
                  </w:r>
                </w:p>
              </w:tc>
              <w:tc>
                <w:tcPr>
                  <w:tcW w:w="1202" w:type="dxa"/>
                  <w:vAlign w:val="center"/>
                </w:tcPr>
                <w:p w14:paraId="61B4D108">
                  <w:pPr>
                    <w:keepNext w:val="0"/>
                    <w:keepLines w:val="0"/>
                    <w:pageBreakBefore w:val="0"/>
                    <w:widowControl/>
                    <w:kinsoku/>
                    <w:wordWrap/>
                    <w:overflowPunct/>
                    <w:topLinePunct w:val="0"/>
                    <w:autoSpaceDE/>
                    <w:autoSpaceDN/>
                    <w:bidi w:val="0"/>
                    <w:spacing w:line="240" w:lineRule="auto"/>
                    <w:jc w:val="center"/>
                    <w:textAlignment w:val="auto"/>
                    <w:rPr>
                      <w:rFonts w:hint="default" w:ascii="Times New Roman" w:hAnsi="Times New Roman" w:eastAsia="宋体" w:cs="Times New Roman"/>
                      <w:b/>
                      <w:color w:val="000000" w:themeColor="text1"/>
                      <w:kern w:val="0"/>
                      <w:sz w:val="21"/>
                      <w:szCs w:val="21"/>
                      <w14:textFill>
                        <w14:solidFill>
                          <w14:schemeClr w14:val="tx1"/>
                        </w14:solidFill>
                      </w14:textFill>
                    </w:rPr>
                  </w:pPr>
                  <w:r>
                    <w:rPr>
                      <w:rFonts w:hint="default" w:ascii="Times New Roman" w:hAnsi="Times New Roman" w:eastAsia="宋体" w:cs="Times New Roman"/>
                      <w:b/>
                      <w:color w:val="000000" w:themeColor="text1"/>
                      <w:kern w:val="0"/>
                      <w:sz w:val="21"/>
                      <w:szCs w:val="21"/>
                      <w:highlight w:val="none"/>
                      <w:lang w:val="en-US" w:eastAsia="zh-CN"/>
                      <w14:textFill>
                        <w14:solidFill>
                          <w14:schemeClr w14:val="tx1"/>
                        </w14:solidFill>
                      </w14:textFill>
                    </w:rPr>
                    <w:t>氨氮</w:t>
                  </w:r>
                </w:p>
              </w:tc>
              <w:tc>
                <w:tcPr>
                  <w:tcW w:w="1218" w:type="dxa"/>
                  <w:vAlign w:val="center"/>
                </w:tcPr>
                <w:p w14:paraId="45B5A3E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b/>
                      <w:color w:val="000000" w:themeColor="text1"/>
                      <w:kern w:val="0"/>
                      <w:sz w:val="21"/>
                      <w:szCs w:val="21"/>
                      <w:highlight w:val="none"/>
                      <w:lang w:val="en-US" w:eastAsia="zh-CN"/>
                      <w14:textFill>
                        <w14:solidFill>
                          <w14:schemeClr w14:val="tx1"/>
                        </w14:solidFill>
                      </w14:textFill>
                    </w:rPr>
                  </w:pPr>
                  <w:r>
                    <w:rPr>
                      <w:rFonts w:hint="default" w:ascii="Times New Roman" w:hAnsi="Times New Roman" w:eastAsia="宋体" w:cs="Times New Roman"/>
                      <w:b/>
                      <w:color w:val="000000" w:themeColor="text1"/>
                      <w:kern w:val="0"/>
                      <w:sz w:val="21"/>
                      <w:szCs w:val="21"/>
                      <w:lang w:val="en-US" w:eastAsia="zh-CN"/>
                      <w14:textFill>
                        <w14:solidFill>
                          <w14:schemeClr w14:val="tx1"/>
                        </w14:solidFill>
                      </w14:textFill>
                    </w:rPr>
                    <w:t>全盐量</w:t>
                  </w:r>
                </w:p>
              </w:tc>
            </w:tr>
            <w:tr w14:paraId="4640601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859" w:type="dxa"/>
                  <w:vMerge w:val="restart"/>
                  <w:textDirection w:val="tbLrV"/>
                  <w:vAlign w:val="center"/>
                </w:tcPr>
                <w:p w14:paraId="5CD5F45C">
                  <w:pPr>
                    <w:keepNext w:val="0"/>
                    <w:keepLines w:val="0"/>
                    <w:pageBreakBefore w:val="0"/>
                    <w:kinsoku/>
                    <w:wordWrap/>
                    <w:overflowPunct/>
                    <w:topLinePunct w:val="0"/>
                    <w:autoSpaceDE/>
                    <w:autoSpaceDN/>
                    <w:bidi w:val="0"/>
                    <w:spacing w:line="240" w:lineRule="auto"/>
                    <w:ind w:left="113" w:right="113"/>
                    <w:jc w:val="center"/>
                    <w:textAlignment w:val="auto"/>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废水</w:t>
                  </w: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w:t>
                  </w:r>
                  <w:r>
                    <w:rPr>
                      <w:rFonts w:hint="eastAsia" w:ascii="Times New Roman" w:hAnsi="Times New Roman" w:eastAsia="宋体" w:cs="Times New Roman"/>
                      <w:kern w:val="0"/>
                      <w:sz w:val="21"/>
                      <w:szCs w:val="21"/>
                      <w:lang w:val="en-US" w:eastAsia="zh-CN"/>
                    </w:rPr>
                    <w:t>DW001</w:t>
                  </w: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w:t>
                  </w:r>
                </w:p>
                <w:p w14:paraId="5843F5FD">
                  <w:pPr>
                    <w:keepNext w:val="0"/>
                    <w:keepLines w:val="0"/>
                    <w:pageBreakBefore w:val="0"/>
                    <w:kinsoku/>
                    <w:wordWrap/>
                    <w:overflowPunct/>
                    <w:topLinePunct w:val="0"/>
                    <w:autoSpaceDE/>
                    <w:autoSpaceDN/>
                    <w:bidi w:val="0"/>
                    <w:spacing w:line="240" w:lineRule="auto"/>
                    <w:ind w:left="113" w:right="113"/>
                    <w:jc w:val="center"/>
                    <w:textAlignment w:val="auto"/>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color w:val="000000" w:themeColor="text1"/>
                      <w:kern w:val="0"/>
                      <w:sz w:val="21"/>
                      <w:szCs w:val="21"/>
                      <w14:textFill>
                        <w14:solidFill>
                          <w14:schemeClr w14:val="tx1"/>
                        </w14:solidFill>
                      </w14:textFill>
                    </w:rPr>
                    <w:t>202</w:t>
                  </w: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5.</w:t>
                  </w: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11.4</w:t>
                  </w:r>
                </w:p>
              </w:tc>
              <w:tc>
                <w:tcPr>
                  <w:tcW w:w="1174" w:type="dxa"/>
                  <w:vAlign w:val="center"/>
                </w:tcPr>
                <w:p w14:paraId="2D131E9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第一次</w:t>
                  </w:r>
                </w:p>
              </w:tc>
              <w:tc>
                <w:tcPr>
                  <w:tcW w:w="1871" w:type="dxa"/>
                  <w:shd w:val="clear" w:color="auto" w:fill="auto"/>
                  <w:vAlign w:val="center"/>
                </w:tcPr>
                <w:p w14:paraId="3FAE183E">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15.2</w:t>
                  </w:r>
                </w:p>
              </w:tc>
              <w:tc>
                <w:tcPr>
                  <w:tcW w:w="1609" w:type="dxa"/>
                  <w:shd w:val="clear" w:color="auto" w:fill="auto"/>
                  <w:vAlign w:val="center"/>
                </w:tcPr>
                <w:p w14:paraId="11FF17B8">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64</w:t>
                  </w:r>
                </w:p>
              </w:tc>
              <w:tc>
                <w:tcPr>
                  <w:tcW w:w="1206" w:type="dxa"/>
                  <w:shd w:val="clear" w:color="auto" w:fill="auto"/>
                  <w:vAlign w:val="center"/>
                </w:tcPr>
                <w:p w14:paraId="426168FC">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33</w:t>
                  </w:r>
                </w:p>
              </w:tc>
              <w:tc>
                <w:tcPr>
                  <w:tcW w:w="1202" w:type="dxa"/>
                  <w:shd w:val="clear" w:color="auto" w:fill="auto"/>
                  <w:vAlign w:val="center"/>
                </w:tcPr>
                <w:p w14:paraId="34784C7F">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21.6</w:t>
                  </w:r>
                </w:p>
              </w:tc>
              <w:tc>
                <w:tcPr>
                  <w:tcW w:w="1218" w:type="dxa"/>
                  <w:shd w:val="clear" w:color="auto" w:fill="auto"/>
                  <w:vAlign w:val="center"/>
                </w:tcPr>
                <w:p w14:paraId="18D9F164">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667</w:t>
                  </w:r>
                </w:p>
              </w:tc>
            </w:tr>
            <w:tr w14:paraId="68F8E44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859" w:type="dxa"/>
                  <w:vMerge w:val="continue"/>
                  <w:vAlign w:val="center"/>
                </w:tcPr>
                <w:p w14:paraId="2E19E16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1174" w:type="dxa"/>
                  <w:vAlign w:val="center"/>
                </w:tcPr>
                <w:p w14:paraId="6F8BBBB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第二次</w:t>
                  </w:r>
                </w:p>
              </w:tc>
              <w:tc>
                <w:tcPr>
                  <w:tcW w:w="1871" w:type="dxa"/>
                  <w:shd w:val="clear" w:color="auto" w:fill="auto"/>
                  <w:vAlign w:val="center"/>
                </w:tcPr>
                <w:p w14:paraId="7209C545">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15.0</w:t>
                  </w:r>
                </w:p>
              </w:tc>
              <w:tc>
                <w:tcPr>
                  <w:tcW w:w="1609" w:type="dxa"/>
                  <w:shd w:val="clear" w:color="auto" w:fill="auto"/>
                  <w:vAlign w:val="center"/>
                </w:tcPr>
                <w:p w14:paraId="612B0753">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55</w:t>
                  </w:r>
                </w:p>
              </w:tc>
              <w:tc>
                <w:tcPr>
                  <w:tcW w:w="1206" w:type="dxa"/>
                  <w:shd w:val="clear" w:color="auto" w:fill="auto"/>
                  <w:vAlign w:val="center"/>
                </w:tcPr>
                <w:p w14:paraId="7FF7B1AA">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28</w:t>
                  </w:r>
                </w:p>
              </w:tc>
              <w:tc>
                <w:tcPr>
                  <w:tcW w:w="1202" w:type="dxa"/>
                  <w:shd w:val="clear" w:color="auto" w:fill="auto"/>
                  <w:vAlign w:val="center"/>
                </w:tcPr>
                <w:p w14:paraId="0961EA5F">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22.4</w:t>
                  </w:r>
                </w:p>
              </w:tc>
              <w:tc>
                <w:tcPr>
                  <w:tcW w:w="1218" w:type="dxa"/>
                  <w:shd w:val="clear" w:color="auto" w:fill="auto"/>
                  <w:vAlign w:val="center"/>
                </w:tcPr>
                <w:p w14:paraId="3904616A">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651</w:t>
                  </w:r>
                </w:p>
              </w:tc>
            </w:tr>
            <w:tr w14:paraId="2547A48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859" w:type="dxa"/>
                  <w:vMerge w:val="continue"/>
                  <w:vAlign w:val="center"/>
                </w:tcPr>
                <w:p w14:paraId="066EA2C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1174" w:type="dxa"/>
                  <w:vAlign w:val="center"/>
                </w:tcPr>
                <w:p w14:paraId="02295EE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第三次</w:t>
                  </w:r>
                </w:p>
              </w:tc>
              <w:tc>
                <w:tcPr>
                  <w:tcW w:w="1871" w:type="dxa"/>
                  <w:shd w:val="clear" w:color="auto" w:fill="auto"/>
                  <w:vAlign w:val="center"/>
                </w:tcPr>
                <w:p w14:paraId="3B05CDA2">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15.2</w:t>
                  </w:r>
                </w:p>
              </w:tc>
              <w:tc>
                <w:tcPr>
                  <w:tcW w:w="1609" w:type="dxa"/>
                  <w:shd w:val="clear" w:color="auto" w:fill="auto"/>
                  <w:vAlign w:val="center"/>
                </w:tcPr>
                <w:p w14:paraId="53DA410E">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69</w:t>
                  </w:r>
                </w:p>
              </w:tc>
              <w:tc>
                <w:tcPr>
                  <w:tcW w:w="1206" w:type="dxa"/>
                  <w:shd w:val="clear" w:color="auto" w:fill="auto"/>
                  <w:vAlign w:val="center"/>
                </w:tcPr>
                <w:p w14:paraId="3ADA5EE7">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37</w:t>
                  </w:r>
                </w:p>
              </w:tc>
              <w:tc>
                <w:tcPr>
                  <w:tcW w:w="1202" w:type="dxa"/>
                  <w:shd w:val="clear" w:color="auto" w:fill="auto"/>
                  <w:vAlign w:val="center"/>
                </w:tcPr>
                <w:p w14:paraId="32A2104E">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22.7</w:t>
                  </w:r>
                </w:p>
              </w:tc>
              <w:tc>
                <w:tcPr>
                  <w:tcW w:w="1218" w:type="dxa"/>
                  <w:vAlign w:val="center"/>
                </w:tcPr>
                <w:p w14:paraId="3335CDB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643</w:t>
                  </w:r>
                </w:p>
              </w:tc>
            </w:tr>
            <w:tr w14:paraId="0FB2DFA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859" w:type="dxa"/>
                  <w:vMerge w:val="continue"/>
                  <w:vAlign w:val="center"/>
                </w:tcPr>
                <w:p w14:paraId="638156E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1174" w:type="dxa"/>
                  <w:vAlign w:val="center"/>
                </w:tcPr>
                <w:p w14:paraId="13E97BC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第四次</w:t>
                  </w:r>
                </w:p>
              </w:tc>
              <w:tc>
                <w:tcPr>
                  <w:tcW w:w="1871" w:type="dxa"/>
                  <w:vAlign w:val="center"/>
                </w:tcPr>
                <w:p w14:paraId="5DBA068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kern w:val="2"/>
                      <w:sz w:val="21"/>
                      <w:szCs w:val="21"/>
                      <w:lang w:val="en-US" w:eastAsia="zh-CN" w:bidi="ar-SA"/>
                    </w:rPr>
                    <w:t>15.2</w:t>
                  </w:r>
                </w:p>
              </w:tc>
              <w:tc>
                <w:tcPr>
                  <w:tcW w:w="1609" w:type="dxa"/>
                  <w:shd w:val="clear" w:color="auto" w:fill="auto"/>
                  <w:vAlign w:val="center"/>
                </w:tcPr>
                <w:p w14:paraId="42FC17FD">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54</w:t>
                  </w:r>
                </w:p>
              </w:tc>
              <w:tc>
                <w:tcPr>
                  <w:tcW w:w="1206" w:type="dxa"/>
                  <w:shd w:val="clear" w:color="auto" w:fill="auto"/>
                  <w:vAlign w:val="center"/>
                </w:tcPr>
                <w:p w14:paraId="3B94397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t>30</w:t>
                  </w:r>
                </w:p>
              </w:tc>
              <w:tc>
                <w:tcPr>
                  <w:tcW w:w="1202" w:type="dxa"/>
                  <w:vAlign w:val="center"/>
                </w:tcPr>
                <w:p w14:paraId="2DDB5A7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23.1</w:t>
                  </w:r>
                </w:p>
              </w:tc>
              <w:tc>
                <w:tcPr>
                  <w:tcW w:w="1218" w:type="dxa"/>
                  <w:vAlign w:val="center"/>
                </w:tcPr>
                <w:p w14:paraId="4F13119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660</w:t>
                  </w:r>
                </w:p>
              </w:tc>
            </w:tr>
            <w:tr w14:paraId="021BF35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859" w:type="dxa"/>
                  <w:vMerge w:val="continue"/>
                  <w:vAlign w:val="center"/>
                </w:tcPr>
                <w:p w14:paraId="27F5ED71">
                  <w:pPr>
                    <w:keepNext w:val="0"/>
                    <w:keepLines w:val="0"/>
                    <w:pageBreakBefore w:val="0"/>
                    <w:widowControl/>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1174" w:type="dxa"/>
                  <w:vAlign w:val="center"/>
                </w:tcPr>
                <w:p w14:paraId="1602A92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日均值</w:t>
                  </w:r>
                </w:p>
              </w:tc>
              <w:tc>
                <w:tcPr>
                  <w:tcW w:w="1871" w:type="dxa"/>
                  <w:vAlign w:val="center"/>
                </w:tcPr>
                <w:p w14:paraId="1B0EA715">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color w:val="000000"/>
                      <w:kern w:val="0"/>
                      <w:sz w:val="21"/>
                      <w:szCs w:val="21"/>
                      <w:u w:val="none"/>
                      <w:lang w:val="en-US" w:eastAsia="zh-CN" w:bidi="ar"/>
                    </w:rPr>
                    <w:t>15.15</w:t>
                  </w:r>
                </w:p>
              </w:tc>
              <w:tc>
                <w:tcPr>
                  <w:tcW w:w="1609" w:type="dxa"/>
                  <w:vAlign w:val="center"/>
                </w:tcPr>
                <w:p w14:paraId="1445A3F7">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color w:val="000000"/>
                      <w:kern w:val="0"/>
                      <w:sz w:val="21"/>
                      <w:szCs w:val="21"/>
                      <w:u w:val="none"/>
                      <w:lang w:val="en-US" w:eastAsia="zh-CN" w:bidi="ar"/>
                    </w:rPr>
                    <w:t>60.5</w:t>
                  </w:r>
                </w:p>
              </w:tc>
              <w:tc>
                <w:tcPr>
                  <w:tcW w:w="1206" w:type="dxa"/>
                  <w:vAlign w:val="center"/>
                </w:tcPr>
                <w:p w14:paraId="5430C379">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color w:val="000000"/>
                      <w:kern w:val="0"/>
                      <w:sz w:val="21"/>
                      <w:szCs w:val="21"/>
                      <w:u w:val="none"/>
                      <w:lang w:val="en-US" w:eastAsia="zh-CN" w:bidi="ar"/>
                    </w:rPr>
                    <w:t>32</w:t>
                  </w:r>
                </w:p>
              </w:tc>
              <w:tc>
                <w:tcPr>
                  <w:tcW w:w="1202" w:type="dxa"/>
                  <w:vAlign w:val="center"/>
                </w:tcPr>
                <w:p w14:paraId="7AA8F0BA">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color w:val="000000"/>
                      <w:kern w:val="0"/>
                      <w:sz w:val="21"/>
                      <w:szCs w:val="21"/>
                      <w:u w:val="none"/>
                      <w:lang w:val="en-US" w:eastAsia="zh-CN" w:bidi="ar"/>
                    </w:rPr>
                    <w:t>22.45</w:t>
                  </w:r>
                </w:p>
              </w:tc>
              <w:tc>
                <w:tcPr>
                  <w:tcW w:w="1218" w:type="dxa"/>
                  <w:vAlign w:val="center"/>
                </w:tcPr>
                <w:p w14:paraId="3094AB53">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default" w:ascii="Times New Roman" w:hAnsi="Times New Roman" w:eastAsia="宋体" w:cs="Times New Roman"/>
                      <w:i w:val="0"/>
                      <w:iCs w:val="0"/>
                      <w:color w:val="000000"/>
                      <w:kern w:val="0"/>
                      <w:sz w:val="21"/>
                      <w:szCs w:val="21"/>
                      <w:u w:val="none"/>
                      <w:lang w:val="en-US" w:eastAsia="zh-CN" w:bidi="ar"/>
                    </w:rPr>
                    <w:t>655.25</w:t>
                  </w:r>
                </w:p>
              </w:tc>
            </w:tr>
            <w:tr w14:paraId="61C3F8B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859" w:type="dxa"/>
                  <w:vMerge w:val="restart"/>
                  <w:textDirection w:val="tbLrV"/>
                  <w:vAlign w:val="center"/>
                </w:tcPr>
                <w:p w14:paraId="35ABA0AC">
                  <w:pPr>
                    <w:keepNext w:val="0"/>
                    <w:keepLines w:val="0"/>
                    <w:pageBreakBefore w:val="0"/>
                    <w:kinsoku/>
                    <w:wordWrap/>
                    <w:overflowPunct/>
                    <w:topLinePunct w:val="0"/>
                    <w:autoSpaceDE/>
                    <w:autoSpaceDN/>
                    <w:bidi w:val="0"/>
                    <w:spacing w:line="240" w:lineRule="auto"/>
                    <w:ind w:left="113" w:right="113"/>
                    <w:jc w:val="center"/>
                    <w:textAlignment w:val="auto"/>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废水</w:t>
                  </w: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w:t>
                  </w:r>
                  <w:r>
                    <w:rPr>
                      <w:rFonts w:hint="eastAsia" w:ascii="Times New Roman" w:hAnsi="Times New Roman" w:eastAsia="宋体" w:cs="Times New Roman"/>
                      <w:kern w:val="0"/>
                      <w:sz w:val="21"/>
                      <w:szCs w:val="21"/>
                      <w:lang w:val="en-US" w:eastAsia="zh-CN"/>
                    </w:rPr>
                    <w:t>DW001</w:t>
                  </w: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w:t>
                  </w:r>
                </w:p>
                <w:p w14:paraId="1B41F168">
                  <w:pPr>
                    <w:keepNext w:val="0"/>
                    <w:keepLines w:val="0"/>
                    <w:pageBreakBefore w:val="0"/>
                    <w:widowControl/>
                    <w:kinsoku/>
                    <w:wordWrap/>
                    <w:overflowPunct/>
                    <w:topLinePunct w:val="0"/>
                    <w:autoSpaceDE/>
                    <w:autoSpaceDN/>
                    <w:bidi w:val="0"/>
                    <w:spacing w:line="240" w:lineRule="auto"/>
                    <w:ind w:left="113" w:right="113"/>
                    <w:jc w:val="center"/>
                    <w:textAlignment w:val="auto"/>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20</w:t>
                  </w: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25.</w:t>
                  </w: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11.4</w:t>
                  </w:r>
                </w:p>
              </w:tc>
              <w:tc>
                <w:tcPr>
                  <w:tcW w:w="1174" w:type="dxa"/>
                  <w:vAlign w:val="center"/>
                </w:tcPr>
                <w:p w14:paraId="11BF4D0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第一次</w:t>
                  </w:r>
                </w:p>
              </w:tc>
              <w:tc>
                <w:tcPr>
                  <w:tcW w:w="1871" w:type="dxa"/>
                  <w:shd w:val="clear" w:color="auto" w:fill="auto"/>
                  <w:vAlign w:val="center"/>
                </w:tcPr>
                <w:p w14:paraId="5025077A">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15.2</w:t>
                  </w:r>
                </w:p>
              </w:tc>
              <w:tc>
                <w:tcPr>
                  <w:tcW w:w="1609" w:type="dxa"/>
                  <w:shd w:val="clear" w:color="auto" w:fill="auto"/>
                  <w:vAlign w:val="center"/>
                </w:tcPr>
                <w:p w14:paraId="4D513CD9">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59</w:t>
                  </w:r>
                </w:p>
              </w:tc>
              <w:tc>
                <w:tcPr>
                  <w:tcW w:w="1206" w:type="dxa"/>
                  <w:shd w:val="clear" w:color="auto" w:fill="auto"/>
                  <w:vAlign w:val="center"/>
                </w:tcPr>
                <w:p w14:paraId="162993AE">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26</w:t>
                  </w:r>
                </w:p>
              </w:tc>
              <w:tc>
                <w:tcPr>
                  <w:tcW w:w="1202" w:type="dxa"/>
                  <w:shd w:val="clear" w:color="auto" w:fill="auto"/>
                  <w:vAlign w:val="center"/>
                </w:tcPr>
                <w:p w14:paraId="6CFF2D00">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21.8</w:t>
                  </w:r>
                </w:p>
              </w:tc>
              <w:tc>
                <w:tcPr>
                  <w:tcW w:w="1218" w:type="dxa"/>
                  <w:shd w:val="clear" w:color="auto" w:fill="auto"/>
                  <w:vAlign w:val="center"/>
                </w:tcPr>
                <w:p w14:paraId="00797157">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622</w:t>
                  </w:r>
                </w:p>
              </w:tc>
            </w:tr>
            <w:tr w14:paraId="5CDDDBB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859" w:type="dxa"/>
                  <w:vMerge w:val="continue"/>
                  <w:vAlign w:val="center"/>
                </w:tcPr>
                <w:p w14:paraId="17B00940">
                  <w:pPr>
                    <w:keepNext w:val="0"/>
                    <w:keepLines w:val="0"/>
                    <w:pageBreakBefore w:val="0"/>
                    <w:widowControl/>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1174" w:type="dxa"/>
                  <w:vAlign w:val="center"/>
                </w:tcPr>
                <w:p w14:paraId="261E423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第二次</w:t>
                  </w:r>
                </w:p>
              </w:tc>
              <w:tc>
                <w:tcPr>
                  <w:tcW w:w="1871" w:type="dxa"/>
                  <w:shd w:val="clear" w:color="auto" w:fill="auto"/>
                  <w:vAlign w:val="center"/>
                </w:tcPr>
                <w:p w14:paraId="3D679B24">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15.0</w:t>
                  </w:r>
                </w:p>
              </w:tc>
              <w:tc>
                <w:tcPr>
                  <w:tcW w:w="1609" w:type="dxa"/>
                  <w:shd w:val="clear" w:color="auto" w:fill="auto"/>
                  <w:vAlign w:val="center"/>
                </w:tcPr>
                <w:p w14:paraId="18352C7C">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66</w:t>
                  </w:r>
                </w:p>
              </w:tc>
              <w:tc>
                <w:tcPr>
                  <w:tcW w:w="1206" w:type="dxa"/>
                  <w:shd w:val="clear" w:color="auto" w:fill="auto"/>
                  <w:vAlign w:val="center"/>
                </w:tcPr>
                <w:p w14:paraId="1CB463C1">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29</w:t>
                  </w:r>
                </w:p>
              </w:tc>
              <w:tc>
                <w:tcPr>
                  <w:tcW w:w="1202" w:type="dxa"/>
                  <w:shd w:val="clear" w:color="auto" w:fill="auto"/>
                  <w:vAlign w:val="center"/>
                </w:tcPr>
                <w:p w14:paraId="73D70E77">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22.6</w:t>
                  </w:r>
                </w:p>
              </w:tc>
              <w:tc>
                <w:tcPr>
                  <w:tcW w:w="1218" w:type="dxa"/>
                  <w:vAlign w:val="center"/>
                </w:tcPr>
                <w:p w14:paraId="46C8DCD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617</w:t>
                  </w:r>
                </w:p>
              </w:tc>
            </w:tr>
            <w:tr w14:paraId="67DB82E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859" w:type="dxa"/>
                  <w:vMerge w:val="continue"/>
                  <w:vAlign w:val="center"/>
                </w:tcPr>
                <w:p w14:paraId="6EF91415">
                  <w:pPr>
                    <w:keepNext w:val="0"/>
                    <w:keepLines w:val="0"/>
                    <w:pageBreakBefore w:val="0"/>
                    <w:widowControl/>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1174" w:type="dxa"/>
                  <w:vAlign w:val="center"/>
                </w:tcPr>
                <w:p w14:paraId="2EA5DB8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第三次</w:t>
                  </w:r>
                </w:p>
              </w:tc>
              <w:tc>
                <w:tcPr>
                  <w:tcW w:w="1871" w:type="dxa"/>
                  <w:shd w:val="clear" w:color="auto" w:fill="auto"/>
                  <w:vAlign w:val="center"/>
                </w:tcPr>
                <w:p w14:paraId="40B88B01">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15.2</w:t>
                  </w:r>
                </w:p>
              </w:tc>
              <w:tc>
                <w:tcPr>
                  <w:tcW w:w="1609" w:type="dxa"/>
                  <w:shd w:val="clear" w:color="auto" w:fill="auto"/>
                  <w:vAlign w:val="center"/>
                </w:tcPr>
                <w:p w14:paraId="5DC1C61D">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54</w:t>
                  </w:r>
                </w:p>
              </w:tc>
              <w:tc>
                <w:tcPr>
                  <w:tcW w:w="1206" w:type="dxa"/>
                  <w:shd w:val="clear" w:color="auto" w:fill="auto"/>
                  <w:vAlign w:val="center"/>
                </w:tcPr>
                <w:p w14:paraId="1F78A002">
                  <w:pPr>
                    <w:keepNext w:val="0"/>
                    <w:keepLines w:val="0"/>
                    <w:widowControl/>
                    <w:suppressLineNumbers w:val="0"/>
                    <w:jc w:val="center"/>
                    <w:textAlignment w:val="bottom"/>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35</w:t>
                  </w:r>
                </w:p>
              </w:tc>
              <w:tc>
                <w:tcPr>
                  <w:tcW w:w="1202" w:type="dxa"/>
                  <w:vAlign w:val="center"/>
                </w:tcPr>
                <w:p w14:paraId="56B5D22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22.2</w:t>
                  </w:r>
                </w:p>
              </w:tc>
              <w:tc>
                <w:tcPr>
                  <w:tcW w:w="1218" w:type="dxa"/>
                  <w:vAlign w:val="center"/>
                </w:tcPr>
                <w:p w14:paraId="33CEEBA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631</w:t>
                  </w:r>
                </w:p>
              </w:tc>
            </w:tr>
            <w:tr w14:paraId="14187D7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859" w:type="dxa"/>
                  <w:vMerge w:val="continue"/>
                  <w:vAlign w:val="center"/>
                </w:tcPr>
                <w:p w14:paraId="00124583">
                  <w:pPr>
                    <w:keepNext w:val="0"/>
                    <w:keepLines w:val="0"/>
                    <w:pageBreakBefore w:val="0"/>
                    <w:widowControl/>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1174" w:type="dxa"/>
                  <w:vAlign w:val="center"/>
                </w:tcPr>
                <w:p w14:paraId="12E0788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第四次</w:t>
                  </w:r>
                </w:p>
              </w:tc>
              <w:tc>
                <w:tcPr>
                  <w:tcW w:w="1871" w:type="dxa"/>
                  <w:vAlign w:val="center"/>
                </w:tcPr>
                <w:p w14:paraId="1B33FDF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kern w:val="2"/>
                      <w:sz w:val="21"/>
                      <w:szCs w:val="21"/>
                      <w:lang w:val="en-US" w:eastAsia="zh-CN" w:bidi="ar-SA"/>
                    </w:rPr>
                    <w:t>15.2</w:t>
                  </w:r>
                </w:p>
              </w:tc>
              <w:tc>
                <w:tcPr>
                  <w:tcW w:w="1609" w:type="dxa"/>
                  <w:vAlign w:val="center"/>
                </w:tcPr>
                <w:p w14:paraId="1FC559F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66</w:t>
                  </w:r>
                </w:p>
              </w:tc>
              <w:tc>
                <w:tcPr>
                  <w:tcW w:w="1206" w:type="dxa"/>
                  <w:vAlign w:val="center"/>
                </w:tcPr>
                <w:p w14:paraId="0616B69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31</w:t>
                  </w:r>
                </w:p>
              </w:tc>
              <w:tc>
                <w:tcPr>
                  <w:tcW w:w="1202" w:type="dxa"/>
                  <w:vAlign w:val="center"/>
                </w:tcPr>
                <w:p w14:paraId="7F8C446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23.4</w:t>
                  </w:r>
                </w:p>
              </w:tc>
              <w:tc>
                <w:tcPr>
                  <w:tcW w:w="1218" w:type="dxa"/>
                  <w:vAlign w:val="center"/>
                </w:tcPr>
                <w:p w14:paraId="5DAD81A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631</w:t>
                  </w:r>
                </w:p>
              </w:tc>
            </w:tr>
            <w:tr w14:paraId="7411BED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859" w:type="dxa"/>
                  <w:vMerge w:val="continue"/>
                  <w:vAlign w:val="center"/>
                </w:tcPr>
                <w:p w14:paraId="56F412BC">
                  <w:pPr>
                    <w:keepNext w:val="0"/>
                    <w:keepLines w:val="0"/>
                    <w:pageBreakBefore w:val="0"/>
                    <w:widowControl/>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1174" w:type="dxa"/>
                  <w:vAlign w:val="center"/>
                </w:tcPr>
                <w:p w14:paraId="20F17C9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日均值</w:t>
                  </w:r>
                </w:p>
              </w:tc>
              <w:tc>
                <w:tcPr>
                  <w:tcW w:w="1871" w:type="dxa"/>
                  <w:vAlign w:val="center"/>
                </w:tcPr>
                <w:p w14:paraId="54DFAF42">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color w:val="000000"/>
                      <w:kern w:val="0"/>
                      <w:sz w:val="21"/>
                      <w:szCs w:val="21"/>
                      <w:u w:val="none"/>
                      <w:lang w:val="en-US" w:eastAsia="zh-CN" w:bidi="ar"/>
                    </w:rPr>
                    <w:t>15.15</w:t>
                  </w:r>
                </w:p>
              </w:tc>
              <w:tc>
                <w:tcPr>
                  <w:tcW w:w="1609" w:type="dxa"/>
                  <w:vAlign w:val="center"/>
                </w:tcPr>
                <w:p w14:paraId="2C90B268">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color w:val="000000"/>
                      <w:kern w:val="0"/>
                      <w:sz w:val="21"/>
                      <w:szCs w:val="21"/>
                      <w:u w:val="none"/>
                      <w:lang w:val="en-US" w:eastAsia="zh-CN" w:bidi="ar"/>
                    </w:rPr>
                    <w:t>61.25</w:t>
                  </w:r>
                </w:p>
              </w:tc>
              <w:tc>
                <w:tcPr>
                  <w:tcW w:w="1206" w:type="dxa"/>
                  <w:vAlign w:val="center"/>
                </w:tcPr>
                <w:p w14:paraId="39F1E2C8">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color w:val="000000"/>
                      <w:kern w:val="0"/>
                      <w:sz w:val="21"/>
                      <w:szCs w:val="21"/>
                      <w:u w:val="none"/>
                      <w:lang w:val="en-US" w:eastAsia="zh-CN" w:bidi="ar"/>
                    </w:rPr>
                    <w:t>30.25</w:t>
                  </w:r>
                </w:p>
              </w:tc>
              <w:tc>
                <w:tcPr>
                  <w:tcW w:w="1202" w:type="dxa"/>
                  <w:vAlign w:val="center"/>
                </w:tcPr>
                <w:p w14:paraId="1C0A011E">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color w:val="000000"/>
                      <w:kern w:val="0"/>
                      <w:sz w:val="21"/>
                      <w:szCs w:val="21"/>
                      <w:u w:val="none"/>
                      <w:lang w:val="en-US" w:eastAsia="zh-CN" w:bidi="ar"/>
                    </w:rPr>
                    <w:t>22.5</w:t>
                  </w:r>
                </w:p>
              </w:tc>
              <w:tc>
                <w:tcPr>
                  <w:tcW w:w="1218" w:type="dxa"/>
                  <w:vAlign w:val="center"/>
                </w:tcPr>
                <w:p w14:paraId="1F9421CD">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default" w:ascii="Times New Roman" w:hAnsi="Times New Roman" w:eastAsia="宋体" w:cs="Times New Roman"/>
                      <w:i w:val="0"/>
                      <w:iCs w:val="0"/>
                      <w:color w:val="000000"/>
                      <w:kern w:val="0"/>
                      <w:sz w:val="21"/>
                      <w:szCs w:val="21"/>
                      <w:u w:val="none"/>
                      <w:lang w:val="en-US" w:eastAsia="zh-CN" w:bidi="ar"/>
                    </w:rPr>
                    <w:t>625.25</w:t>
                  </w:r>
                </w:p>
              </w:tc>
            </w:tr>
            <w:tr w14:paraId="321B34E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2033" w:type="dxa"/>
                  <w:gridSpan w:val="2"/>
                  <w:vAlign w:val="center"/>
                </w:tcPr>
                <w:p w14:paraId="0E24481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标准限值</w:t>
                  </w:r>
                </w:p>
              </w:tc>
              <w:tc>
                <w:tcPr>
                  <w:tcW w:w="1871" w:type="dxa"/>
                  <w:vAlign w:val="center"/>
                </w:tcPr>
                <w:p w14:paraId="3606FC9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300</w:t>
                  </w:r>
                </w:p>
              </w:tc>
              <w:tc>
                <w:tcPr>
                  <w:tcW w:w="1609" w:type="dxa"/>
                  <w:vAlign w:val="center"/>
                </w:tcPr>
                <w:p w14:paraId="1591D8B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500</w:t>
                  </w:r>
                </w:p>
              </w:tc>
              <w:tc>
                <w:tcPr>
                  <w:tcW w:w="1206" w:type="dxa"/>
                  <w:vAlign w:val="center"/>
                </w:tcPr>
                <w:p w14:paraId="524DAD4C">
                  <w:pPr>
                    <w:keepNext w:val="0"/>
                    <w:keepLines w:val="0"/>
                    <w:pageBreakBefore w:val="0"/>
                    <w:widowControl/>
                    <w:kinsoku/>
                    <w:wordWrap/>
                    <w:overflowPunct/>
                    <w:topLinePunct w:val="0"/>
                    <w:autoSpaceDE/>
                    <w:autoSpaceDN/>
                    <w:bidi w:val="0"/>
                    <w:spacing w:line="240" w:lineRule="auto"/>
                    <w:jc w:val="center"/>
                    <w:textAlignment w:val="auto"/>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400</w:t>
                  </w:r>
                </w:p>
              </w:tc>
              <w:tc>
                <w:tcPr>
                  <w:tcW w:w="1202" w:type="dxa"/>
                  <w:vAlign w:val="center"/>
                </w:tcPr>
                <w:p w14:paraId="55B54BA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45</w:t>
                  </w:r>
                </w:p>
              </w:tc>
              <w:tc>
                <w:tcPr>
                  <w:tcW w:w="1218" w:type="dxa"/>
                  <w:vAlign w:val="center"/>
                </w:tcPr>
                <w:p w14:paraId="046A24E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1600</w:t>
                  </w:r>
                </w:p>
              </w:tc>
            </w:tr>
            <w:tr w14:paraId="094BC28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78" w:hRule="atLeast"/>
              </w:trPr>
              <w:tc>
                <w:tcPr>
                  <w:tcW w:w="2033" w:type="dxa"/>
                  <w:gridSpan w:val="2"/>
                  <w:vAlign w:val="center"/>
                </w:tcPr>
                <w:p w14:paraId="0FAC43B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达标情况</w:t>
                  </w:r>
                </w:p>
              </w:tc>
              <w:tc>
                <w:tcPr>
                  <w:tcW w:w="1871" w:type="dxa"/>
                  <w:vAlign w:val="center"/>
                </w:tcPr>
                <w:p w14:paraId="214CB37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kern w:val="0"/>
                      <w:sz w:val="21"/>
                      <w:szCs w:val="21"/>
                      <w:lang w:val="en-US" w:eastAsia="zh-CN"/>
                    </w:rPr>
                    <w:t>达标</w:t>
                  </w:r>
                </w:p>
              </w:tc>
              <w:tc>
                <w:tcPr>
                  <w:tcW w:w="1609" w:type="dxa"/>
                  <w:vAlign w:val="center"/>
                </w:tcPr>
                <w:p w14:paraId="5AAF99E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kern w:val="0"/>
                      <w:sz w:val="21"/>
                      <w:szCs w:val="21"/>
                      <w:lang w:val="en-US" w:eastAsia="zh-CN"/>
                    </w:rPr>
                    <w:t>达标</w:t>
                  </w:r>
                </w:p>
              </w:tc>
              <w:tc>
                <w:tcPr>
                  <w:tcW w:w="1206" w:type="dxa"/>
                  <w:vAlign w:val="center"/>
                </w:tcPr>
                <w:p w14:paraId="3187413E">
                  <w:pPr>
                    <w:keepNext w:val="0"/>
                    <w:keepLines w:val="0"/>
                    <w:pageBreakBefore w:val="0"/>
                    <w:widowControl/>
                    <w:kinsoku/>
                    <w:wordWrap/>
                    <w:overflowPunct/>
                    <w:topLinePunct w:val="0"/>
                    <w:autoSpaceDE/>
                    <w:autoSpaceDN/>
                    <w:bidi w:val="0"/>
                    <w:spacing w:line="240" w:lineRule="auto"/>
                    <w:jc w:val="center"/>
                    <w:textAlignment w:val="auto"/>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达标</w:t>
                  </w:r>
                </w:p>
              </w:tc>
              <w:tc>
                <w:tcPr>
                  <w:tcW w:w="1202" w:type="dxa"/>
                  <w:vAlign w:val="center"/>
                </w:tcPr>
                <w:p w14:paraId="56FD085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kern w:val="0"/>
                      <w:sz w:val="21"/>
                      <w:szCs w:val="21"/>
                      <w:lang w:val="en-US" w:eastAsia="zh-CN"/>
                    </w:rPr>
                    <w:t>达标</w:t>
                  </w:r>
                </w:p>
              </w:tc>
              <w:tc>
                <w:tcPr>
                  <w:tcW w:w="1218" w:type="dxa"/>
                  <w:vAlign w:val="center"/>
                </w:tcPr>
                <w:p w14:paraId="1B87CC1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kern w:val="0"/>
                      <w:sz w:val="21"/>
                      <w:szCs w:val="21"/>
                      <w:lang w:val="en-US" w:eastAsia="zh-CN"/>
                    </w:rPr>
                    <w:t>达标</w:t>
                  </w:r>
                </w:p>
              </w:tc>
            </w:tr>
          </w:tbl>
          <w:p w14:paraId="73E0B7EF">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rPr>
            </w:pPr>
            <w:r>
              <w:rPr>
                <w:rFonts w:hint="default" w:ascii="Times New Roman" w:hAnsi="Times New Roman" w:eastAsia="宋体" w:cs="Times New Roman"/>
                <w:b/>
                <w:sz w:val="24"/>
                <w:szCs w:val="24"/>
              </w:rPr>
              <w:t>表7-</w:t>
            </w:r>
            <w:r>
              <w:rPr>
                <w:rFonts w:hint="eastAsia" w:ascii="Times New Roman" w:hAnsi="Times New Roman" w:eastAsia="宋体" w:cs="Times New Roman"/>
                <w:b/>
                <w:sz w:val="24"/>
                <w:szCs w:val="24"/>
                <w:lang w:val="en-US" w:eastAsia="zh-CN"/>
              </w:rPr>
              <w:t xml:space="preserve">3 </w:t>
            </w:r>
            <w:r>
              <w:rPr>
                <w:rFonts w:hint="default" w:ascii="Times New Roman" w:hAnsi="Times New Roman" w:eastAsia="宋体" w:cs="Times New Roman"/>
                <w:b/>
                <w:sz w:val="24"/>
                <w:szCs w:val="24"/>
              </w:rPr>
              <w:t>废水监测结果</w:t>
            </w:r>
          </w:p>
          <w:p w14:paraId="6B1BD7B9">
            <w:pPr>
              <w:adjustRightInd w:val="0"/>
              <w:snapToGrid w:val="0"/>
              <w:spacing w:line="360" w:lineRule="auto"/>
              <w:jc w:val="both"/>
              <w:rPr>
                <w:rFonts w:hint="default" w:ascii="Times New Roman" w:hAnsi="Times New Roman" w:eastAsia="宋体" w:cs="Times New Roman"/>
                <w:color w:val="000000" w:themeColor="text1"/>
                <w:sz w:val="24"/>
                <w:szCs w:val="24"/>
                <w14:textFill>
                  <w14:solidFill>
                    <w14:schemeClr w14:val="tx1"/>
                  </w14:solidFill>
                </w14:textFill>
              </w:rPr>
            </w:pPr>
          </w:p>
          <w:p w14:paraId="1418B697">
            <w:pPr>
              <w:adjustRightInd w:val="0"/>
              <w:snapToGrid w:val="0"/>
              <w:spacing w:line="360" w:lineRule="auto"/>
              <w:ind w:firstLine="480" w:firstLineChars="200"/>
              <w:jc w:val="both"/>
              <w:rPr>
                <w:rFonts w:hint="eastAsia"/>
                <w:lang w:val="en-US" w:eastAsia="zh-CN"/>
              </w:rPr>
            </w:pPr>
            <w:r>
              <w:rPr>
                <w:rFonts w:hint="default" w:ascii="Times New Roman" w:hAnsi="Times New Roman" w:eastAsia="宋体" w:cs="Times New Roman"/>
                <w:color w:val="000000" w:themeColor="text1"/>
                <w:sz w:val="24"/>
                <w:szCs w:val="24"/>
                <w14:textFill>
                  <w14:solidFill>
                    <w14:schemeClr w14:val="tx1"/>
                  </w14:solidFill>
                </w14:textFill>
              </w:rPr>
              <w:t>由表7-</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14:textFill>
                  <w14:solidFill>
                    <w14:schemeClr w14:val="tx1"/>
                  </w14:solidFill>
                </w14:textFill>
              </w:rPr>
              <w:t>的监测结果分析可知：本项目废水</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DW001</w:t>
            </w:r>
            <w:r>
              <w:rPr>
                <w:rFonts w:hint="default" w:ascii="Times New Roman" w:hAnsi="Times New Roman" w:eastAsia="宋体" w:cs="Times New Roman"/>
                <w:color w:val="000000" w:themeColor="text1"/>
                <w:sz w:val="24"/>
                <w:szCs w:val="24"/>
                <w14:textFill>
                  <w14:solidFill>
                    <w14:schemeClr w14:val="tx1"/>
                  </w14:solidFill>
                </w14:textFill>
              </w:rPr>
              <w:t>中各项污染物</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检测</w:t>
            </w:r>
            <w:r>
              <w:rPr>
                <w:rFonts w:hint="default" w:ascii="Times New Roman" w:hAnsi="Times New Roman" w:eastAsia="宋体" w:cs="Times New Roman"/>
                <w:color w:val="000000" w:themeColor="text1"/>
                <w:sz w:val="24"/>
                <w:szCs w:val="24"/>
                <w14:textFill>
                  <w14:solidFill>
                    <w14:schemeClr w14:val="tx1"/>
                  </w14:solidFill>
                </w14:textFill>
              </w:rPr>
              <w:t>结果均满足《水污染物综合排放标准》（DB11/307-2013）中表3排入公共污水处理系统的水污染排放限值要求。</w:t>
            </w:r>
          </w:p>
          <w:p w14:paraId="06A1A31B">
            <w:pPr>
              <w:pStyle w:val="3"/>
              <w:ind w:firstLine="482" w:firstLineChars="200"/>
              <w:rPr>
                <w:rFonts w:hint="default" w:ascii="Times New Roman" w:hAnsi="Times New Roman" w:cs="Times New Roman"/>
                <w:szCs w:val="24"/>
              </w:rPr>
            </w:pPr>
            <w:r>
              <w:rPr>
                <w:rFonts w:hint="eastAsia" w:ascii="Times New Roman" w:hAnsi="Times New Roman" w:cs="Times New Roman"/>
                <w:szCs w:val="24"/>
                <w:lang w:val="en-US" w:eastAsia="zh-CN"/>
              </w:rPr>
              <w:t>三</w:t>
            </w:r>
            <w:r>
              <w:rPr>
                <w:rFonts w:hint="default" w:ascii="Times New Roman" w:hAnsi="Times New Roman" w:cs="Times New Roman"/>
                <w:szCs w:val="24"/>
              </w:rPr>
              <w:t>、噪声</w:t>
            </w:r>
          </w:p>
          <w:p w14:paraId="26FD5C8A">
            <w:pPr>
              <w:pStyle w:val="51"/>
              <w:spacing w:line="360" w:lineRule="auto"/>
              <w:ind w:firstLine="480" w:firstLineChars="200"/>
              <w:rPr>
                <w:rFonts w:hint="default" w:ascii="Times New Roman" w:hAnsi="Times New Roman" w:cs="Times New Roman"/>
              </w:rPr>
            </w:pPr>
            <w:r>
              <w:rPr>
                <w:rFonts w:hint="default" w:ascii="Times New Roman" w:hAnsi="Times New Roman" w:cs="Times New Roman"/>
              </w:rPr>
              <w:t>本项目噪声监测结果见表7-</w:t>
            </w:r>
            <w:r>
              <w:rPr>
                <w:rFonts w:hint="eastAsia" w:cs="Times New Roman"/>
                <w:lang w:val="en-US" w:eastAsia="zh-CN"/>
              </w:rPr>
              <w:t>4</w:t>
            </w:r>
            <w:r>
              <w:rPr>
                <w:rFonts w:hint="default" w:ascii="Times New Roman" w:hAnsi="Times New Roman" w:cs="Times New Roman"/>
              </w:rPr>
              <w:t>。</w:t>
            </w:r>
          </w:p>
          <w:p w14:paraId="6496B674">
            <w:pPr>
              <w:adjustRightInd w:val="0"/>
              <w:snapToGrid w:val="0"/>
              <w:spacing w:line="360" w:lineRule="auto"/>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表7-</w:t>
            </w:r>
            <w:r>
              <w:rPr>
                <w:rFonts w:hint="eastAsia" w:ascii="Times New Roman" w:hAnsi="Times New Roman" w:eastAsia="宋体" w:cs="Times New Roman"/>
                <w:b/>
                <w:sz w:val="24"/>
                <w:szCs w:val="24"/>
                <w:lang w:val="en-US" w:eastAsia="zh-CN"/>
              </w:rPr>
              <w:t xml:space="preserve">4 </w:t>
            </w:r>
            <w:r>
              <w:rPr>
                <w:rFonts w:hint="default" w:ascii="Times New Roman" w:hAnsi="Times New Roman" w:eastAsia="宋体" w:cs="Times New Roman"/>
                <w:b/>
                <w:sz w:val="24"/>
                <w:szCs w:val="24"/>
              </w:rPr>
              <w:t>噪声监测结果</w:t>
            </w:r>
          </w:p>
          <w:tbl>
            <w:tblPr>
              <w:tblStyle w:val="30"/>
              <w:tblW w:w="9259"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790"/>
              <w:gridCol w:w="2793"/>
              <w:gridCol w:w="2119"/>
              <w:gridCol w:w="2557"/>
            </w:tblGrid>
            <w:tr w14:paraId="753F2CB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1790" w:type="dxa"/>
                  <w:vMerge w:val="restart"/>
                  <w:vAlign w:val="center"/>
                </w:tcPr>
                <w:p w14:paraId="6471421D">
                  <w:pPr>
                    <w:jc w:val="center"/>
                    <w:rPr>
                      <w:rFonts w:hint="default" w:ascii="Times New Roman" w:hAnsi="Times New Roman" w:eastAsia="宋体" w:cs="Times New Roman"/>
                      <w:b/>
                      <w:kern w:val="0"/>
                      <w:sz w:val="21"/>
                      <w:szCs w:val="21"/>
                    </w:rPr>
                  </w:pPr>
                  <w:r>
                    <w:rPr>
                      <w:rFonts w:hint="default" w:ascii="Times New Roman" w:hAnsi="Times New Roman" w:eastAsia="宋体" w:cs="Times New Roman"/>
                      <w:b/>
                      <w:kern w:val="0"/>
                      <w:sz w:val="21"/>
                      <w:szCs w:val="21"/>
                    </w:rPr>
                    <w:t>监测日期</w:t>
                  </w:r>
                </w:p>
              </w:tc>
              <w:tc>
                <w:tcPr>
                  <w:tcW w:w="2793" w:type="dxa"/>
                  <w:vMerge w:val="restart"/>
                  <w:vAlign w:val="center"/>
                </w:tcPr>
                <w:p w14:paraId="688BFC5C">
                  <w:pPr>
                    <w:jc w:val="center"/>
                    <w:rPr>
                      <w:rFonts w:hint="default" w:ascii="Times New Roman" w:hAnsi="Times New Roman" w:eastAsia="宋体" w:cs="Times New Roman"/>
                      <w:b/>
                      <w:kern w:val="0"/>
                      <w:sz w:val="21"/>
                      <w:szCs w:val="21"/>
                    </w:rPr>
                  </w:pPr>
                  <w:r>
                    <w:rPr>
                      <w:rFonts w:hint="default" w:ascii="Times New Roman" w:hAnsi="Times New Roman" w:eastAsia="宋体" w:cs="Times New Roman"/>
                      <w:b/>
                      <w:kern w:val="0"/>
                      <w:sz w:val="21"/>
                      <w:szCs w:val="21"/>
                    </w:rPr>
                    <w:t>测点位置</w:t>
                  </w:r>
                </w:p>
              </w:tc>
              <w:tc>
                <w:tcPr>
                  <w:tcW w:w="4676" w:type="dxa"/>
                  <w:gridSpan w:val="2"/>
                  <w:vAlign w:val="center"/>
                </w:tcPr>
                <w:p w14:paraId="7D0E5DEA">
                  <w:pPr>
                    <w:widowControl/>
                    <w:jc w:val="center"/>
                    <w:rPr>
                      <w:rFonts w:hint="default" w:ascii="Times New Roman" w:hAnsi="Times New Roman" w:eastAsia="宋体" w:cs="Times New Roman"/>
                      <w:b/>
                      <w:kern w:val="0"/>
                      <w:sz w:val="21"/>
                      <w:szCs w:val="21"/>
                    </w:rPr>
                  </w:pPr>
                  <w:r>
                    <w:rPr>
                      <w:rFonts w:hint="default" w:ascii="Times New Roman" w:hAnsi="Times New Roman" w:eastAsia="宋体" w:cs="Times New Roman"/>
                      <w:b/>
                      <w:kern w:val="0"/>
                      <w:sz w:val="21"/>
                      <w:szCs w:val="21"/>
                    </w:rPr>
                    <w:t>监测结果</w:t>
                  </w:r>
                </w:p>
              </w:tc>
            </w:tr>
            <w:tr w14:paraId="694E1D7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1790" w:type="dxa"/>
                  <w:vMerge w:val="continue"/>
                  <w:vAlign w:val="center"/>
                </w:tcPr>
                <w:p w14:paraId="4889E31A">
                  <w:pPr>
                    <w:jc w:val="center"/>
                    <w:rPr>
                      <w:rFonts w:hint="default" w:ascii="Times New Roman" w:hAnsi="Times New Roman" w:eastAsia="宋体" w:cs="Times New Roman"/>
                      <w:b/>
                      <w:kern w:val="0"/>
                      <w:sz w:val="21"/>
                      <w:szCs w:val="21"/>
                    </w:rPr>
                  </w:pPr>
                </w:p>
              </w:tc>
              <w:tc>
                <w:tcPr>
                  <w:tcW w:w="2793" w:type="dxa"/>
                  <w:vMerge w:val="continue"/>
                  <w:vAlign w:val="center"/>
                </w:tcPr>
                <w:p w14:paraId="4E3C6299">
                  <w:pPr>
                    <w:jc w:val="center"/>
                    <w:rPr>
                      <w:rFonts w:hint="default" w:ascii="Times New Roman" w:hAnsi="Times New Roman" w:eastAsia="宋体" w:cs="Times New Roman"/>
                      <w:b/>
                      <w:kern w:val="0"/>
                      <w:sz w:val="21"/>
                      <w:szCs w:val="21"/>
                    </w:rPr>
                  </w:pPr>
                </w:p>
              </w:tc>
              <w:tc>
                <w:tcPr>
                  <w:tcW w:w="2119" w:type="dxa"/>
                  <w:vAlign w:val="center"/>
                </w:tcPr>
                <w:p w14:paraId="5371603E">
                  <w:pPr>
                    <w:widowControl/>
                    <w:jc w:val="center"/>
                    <w:rPr>
                      <w:rFonts w:hint="default" w:ascii="Times New Roman" w:hAnsi="Times New Roman" w:eastAsia="宋体" w:cs="Times New Roman"/>
                      <w:b/>
                      <w:bCs/>
                      <w:kern w:val="0"/>
                      <w:sz w:val="21"/>
                      <w:szCs w:val="21"/>
                    </w:rPr>
                  </w:pPr>
                  <w:r>
                    <w:rPr>
                      <w:rFonts w:hint="default" w:ascii="Times New Roman" w:hAnsi="Times New Roman" w:eastAsia="宋体" w:cs="Times New Roman"/>
                      <w:b/>
                      <w:bCs/>
                      <w:sz w:val="21"/>
                      <w:szCs w:val="21"/>
                    </w:rPr>
                    <w:t>昼间</w:t>
                  </w:r>
                  <w:r>
                    <w:rPr>
                      <w:rFonts w:hint="default" w:ascii="Times New Roman" w:hAnsi="Times New Roman" w:eastAsia="宋体" w:cs="Times New Roman"/>
                      <w:b/>
                      <w:kern w:val="0"/>
                      <w:sz w:val="21"/>
                      <w:szCs w:val="21"/>
                    </w:rPr>
                    <w:t>Leq[</w:t>
                  </w:r>
                  <w:r>
                    <w:rPr>
                      <w:rFonts w:hint="default" w:ascii="Times New Roman" w:hAnsi="Times New Roman" w:eastAsia="宋体" w:cs="Times New Roman"/>
                      <w:b/>
                      <w:sz w:val="21"/>
                      <w:szCs w:val="21"/>
                    </w:rPr>
                    <w:t>dB(A)</w:t>
                  </w:r>
                  <w:r>
                    <w:rPr>
                      <w:rFonts w:hint="default" w:ascii="Times New Roman" w:hAnsi="Times New Roman" w:eastAsia="宋体" w:cs="Times New Roman"/>
                      <w:b/>
                      <w:kern w:val="0"/>
                      <w:sz w:val="21"/>
                      <w:szCs w:val="21"/>
                    </w:rPr>
                    <w:t>]</w:t>
                  </w:r>
                </w:p>
              </w:tc>
              <w:tc>
                <w:tcPr>
                  <w:tcW w:w="2557" w:type="dxa"/>
                  <w:vAlign w:val="center"/>
                </w:tcPr>
                <w:p w14:paraId="04A0434A">
                  <w:pPr>
                    <w:widowControl/>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b/>
                      <w:bCs/>
                      <w:sz w:val="21"/>
                      <w:szCs w:val="21"/>
                      <w:lang w:val="en-US" w:eastAsia="zh-CN"/>
                    </w:rPr>
                    <w:t>昼间Leq[dB(A)]</w:t>
                  </w:r>
                </w:p>
              </w:tc>
            </w:tr>
            <w:tr w14:paraId="732C2B3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1790" w:type="dxa"/>
                  <w:vMerge w:val="restart"/>
                  <w:vAlign w:val="center"/>
                </w:tcPr>
                <w:p w14:paraId="2FAAF50B">
                  <w:pPr>
                    <w:jc w:val="center"/>
                    <w:rPr>
                      <w:rFonts w:hint="default" w:ascii="Times New Roman" w:hAnsi="Times New Roman" w:eastAsia="宋体" w:cs="Times New Roman"/>
                      <w:kern w:val="0"/>
                      <w:sz w:val="21"/>
                      <w:szCs w:val="21"/>
                    </w:rPr>
                  </w:pPr>
                </w:p>
                <w:p w14:paraId="0FE26CB3">
                  <w:pPr>
                    <w:jc w:val="center"/>
                    <w:rPr>
                      <w:rFonts w:hint="default" w:ascii="Times New Roman" w:hAnsi="Times New Roman" w:eastAsia="宋体" w:cs="Times New Roman"/>
                      <w:kern w:val="0"/>
                      <w:sz w:val="21"/>
                      <w:szCs w:val="21"/>
                    </w:rPr>
                  </w:pPr>
                </w:p>
                <w:p w14:paraId="5551E6E2">
                  <w:pPr>
                    <w:jc w:val="center"/>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rPr>
                    <w:t>202</w:t>
                  </w:r>
                  <w:r>
                    <w:rPr>
                      <w:rFonts w:hint="default" w:ascii="Times New Roman" w:hAnsi="Times New Roman" w:eastAsia="宋体" w:cs="Times New Roman"/>
                      <w:kern w:val="0"/>
                      <w:sz w:val="21"/>
                      <w:szCs w:val="21"/>
                      <w:lang w:val="en-US" w:eastAsia="zh-CN"/>
                    </w:rPr>
                    <w:t>5.</w:t>
                  </w:r>
                  <w:r>
                    <w:rPr>
                      <w:rFonts w:hint="eastAsia" w:ascii="Times New Roman" w:hAnsi="Times New Roman" w:eastAsia="宋体" w:cs="Times New Roman"/>
                      <w:kern w:val="0"/>
                      <w:sz w:val="21"/>
                      <w:szCs w:val="21"/>
                      <w:lang w:val="en-US" w:eastAsia="zh-CN"/>
                    </w:rPr>
                    <w:t>9.20</w:t>
                  </w:r>
                </w:p>
              </w:tc>
              <w:tc>
                <w:tcPr>
                  <w:tcW w:w="2793" w:type="dxa"/>
                  <w:vAlign w:val="center"/>
                </w:tcPr>
                <w:p w14:paraId="1647DD99">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1#东</w:t>
                  </w:r>
                  <w:r>
                    <w:rPr>
                      <w:rFonts w:hint="default" w:ascii="Times New Roman" w:hAnsi="Times New Roman" w:eastAsia="宋体" w:cs="Times New Roman"/>
                      <w:color w:val="000000" w:themeColor="text1"/>
                      <w:kern w:val="0"/>
                      <w:sz w:val="21"/>
                      <w:szCs w:val="21"/>
                      <w14:textFill>
                        <w14:solidFill>
                          <w14:schemeClr w14:val="tx1"/>
                        </w14:solidFill>
                      </w14:textFill>
                    </w:rPr>
                    <w:t>厂界外1米处</w:t>
                  </w:r>
                </w:p>
              </w:tc>
              <w:tc>
                <w:tcPr>
                  <w:tcW w:w="2119" w:type="dxa"/>
                  <w:vAlign w:val="center"/>
                </w:tcPr>
                <w:p w14:paraId="4B8C9BF4">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58</w:t>
                  </w:r>
                </w:p>
              </w:tc>
              <w:tc>
                <w:tcPr>
                  <w:tcW w:w="2557" w:type="dxa"/>
                  <w:vAlign w:val="center"/>
                </w:tcPr>
                <w:p w14:paraId="60615BE3">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58</w:t>
                  </w:r>
                </w:p>
              </w:tc>
            </w:tr>
            <w:tr w14:paraId="7C51B69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1790" w:type="dxa"/>
                  <w:vMerge w:val="continue"/>
                  <w:vAlign w:val="center"/>
                </w:tcPr>
                <w:p w14:paraId="3FC084C7">
                  <w:pPr>
                    <w:jc w:val="center"/>
                    <w:rPr>
                      <w:rFonts w:hint="default" w:ascii="Times New Roman" w:hAnsi="Times New Roman" w:eastAsia="宋体" w:cs="Times New Roman"/>
                      <w:kern w:val="0"/>
                      <w:sz w:val="21"/>
                      <w:szCs w:val="21"/>
                    </w:rPr>
                  </w:pPr>
                </w:p>
              </w:tc>
              <w:tc>
                <w:tcPr>
                  <w:tcW w:w="2793" w:type="dxa"/>
                  <w:vAlign w:val="center"/>
                </w:tcPr>
                <w:p w14:paraId="0276178D">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2#南</w:t>
                  </w:r>
                  <w:r>
                    <w:rPr>
                      <w:rFonts w:hint="default" w:ascii="Times New Roman" w:hAnsi="Times New Roman" w:eastAsia="宋体" w:cs="Times New Roman"/>
                      <w:color w:val="000000" w:themeColor="text1"/>
                      <w:kern w:val="0"/>
                      <w:sz w:val="21"/>
                      <w:szCs w:val="21"/>
                      <w14:textFill>
                        <w14:solidFill>
                          <w14:schemeClr w14:val="tx1"/>
                        </w14:solidFill>
                      </w14:textFill>
                    </w:rPr>
                    <w:t>厂界外1米处</w:t>
                  </w:r>
                </w:p>
              </w:tc>
              <w:tc>
                <w:tcPr>
                  <w:tcW w:w="2119" w:type="dxa"/>
                  <w:vAlign w:val="center"/>
                </w:tcPr>
                <w:p w14:paraId="0A7FAA6E">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61</w:t>
                  </w:r>
                </w:p>
              </w:tc>
              <w:tc>
                <w:tcPr>
                  <w:tcW w:w="2557" w:type="dxa"/>
                  <w:vAlign w:val="center"/>
                </w:tcPr>
                <w:p w14:paraId="5FF523BF">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58</w:t>
                  </w:r>
                </w:p>
              </w:tc>
            </w:tr>
            <w:tr w14:paraId="562E709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1790" w:type="dxa"/>
                  <w:vMerge w:val="continue"/>
                  <w:vAlign w:val="center"/>
                </w:tcPr>
                <w:p w14:paraId="1C394C28">
                  <w:pPr>
                    <w:jc w:val="center"/>
                    <w:rPr>
                      <w:rFonts w:hint="default" w:ascii="Times New Roman" w:hAnsi="Times New Roman" w:eastAsia="宋体" w:cs="Times New Roman"/>
                      <w:sz w:val="21"/>
                      <w:szCs w:val="21"/>
                    </w:rPr>
                  </w:pPr>
                </w:p>
              </w:tc>
              <w:tc>
                <w:tcPr>
                  <w:tcW w:w="2793" w:type="dxa"/>
                  <w:vAlign w:val="center"/>
                </w:tcPr>
                <w:p w14:paraId="346C4AB4">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3#西</w:t>
                  </w:r>
                  <w:r>
                    <w:rPr>
                      <w:rFonts w:hint="default" w:ascii="Times New Roman" w:hAnsi="Times New Roman" w:eastAsia="宋体" w:cs="Times New Roman"/>
                      <w:color w:val="000000" w:themeColor="text1"/>
                      <w:kern w:val="0"/>
                      <w:sz w:val="21"/>
                      <w:szCs w:val="21"/>
                      <w14:textFill>
                        <w14:solidFill>
                          <w14:schemeClr w14:val="tx1"/>
                        </w14:solidFill>
                      </w14:textFill>
                    </w:rPr>
                    <w:t>厂界外1米处</w:t>
                  </w:r>
                </w:p>
              </w:tc>
              <w:tc>
                <w:tcPr>
                  <w:tcW w:w="2119" w:type="dxa"/>
                  <w:vAlign w:val="center"/>
                </w:tcPr>
                <w:p w14:paraId="1D0E2BBD">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57</w:t>
                  </w:r>
                </w:p>
              </w:tc>
              <w:tc>
                <w:tcPr>
                  <w:tcW w:w="2557" w:type="dxa"/>
                  <w:vAlign w:val="center"/>
                </w:tcPr>
                <w:p w14:paraId="43FBA336">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62</w:t>
                  </w:r>
                </w:p>
              </w:tc>
            </w:tr>
            <w:tr w14:paraId="049CC3F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1790" w:type="dxa"/>
                  <w:vMerge w:val="continue"/>
                  <w:vAlign w:val="center"/>
                </w:tcPr>
                <w:p w14:paraId="15AE6250">
                  <w:pPr>
                    <w:jc w:val="center"/>
                    <w:rPr>
                      <w:rFonts w:hint="default" w:ascii="Times New Roman" w:hAnsi="Times New Roman" w:eastAsia="宋体" w:cs="Times New Roman"/>
                      <w:sz w:val="21"/>
                      <w:szCs w:val="21"/>
                    </w:rPr>
                  </w:pPr>
                </w:p>
              </w:tc>
              <w:tc>
                <w:tcPr>
                  <w:tcW w:w="2793" w:type="dxa"/>
                  <w:vAlign w:val="center"/>
                </w:tcPr>
                <w:p w14:paraId="2B772F80">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4#北</w:t>
                  </w:r>
                  <w:r>
                    <w:rPr>
                      <w:rFonts w:hint="default" w:ascii="Times New Roman" w:hAnsi="Times New Roman" w:eastAsia="宋体" w:cs="Times New Roman"/>
                      <w:color w:val="000000" w:themeColor="text1"/>
                      <w:kern w:val="0"/>
                      <w:sz w:val="21"/>
                      <w:szCs w:val="21"/>
                      <w14:textFill>
                        <w14:solidFill>
                          <w14:schemeClr w14:val="tx1"/>
                        </w14:solidFill>
                      </w14:textFill>
                    </w:rPr>
                    <w:t>厂界外1米处</w:t>
                  </w:r>
                </w:p>
              </w:tc>
              <w:tc>
                <w:tcPr>
                  <w:tcW w:w="2119" w:type="dxa"/>
                  <w:vAlign w:val="center"/>
                </w:tcPr>
                <w:p w14:paraId="05FAD146">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59</w:t>
                  </w:r>
                </w:p>
              </w:tc>
              <w:tc>
                <w:tcPr>
                  <w:tcW w:w="2557" w:type="dxa"/>
                  <w:vAlign w:val="center"/>
                </w:tcPr>
                <w:p w14:paraId="00D9B51A">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57</w:t>
                  </w:r>
                </w:p>
              </w:tc>
            </w:tr>
            <w:tr w14:paraId="521FDDA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790" w:type="dxa"/>
                  <w:vMerge w:val="restart"/>
                  <w:vAlign w:val="center"/>
                </w:tcPr>
                <w:p w14:paraId="5F3B9CA8">
                  <w:pPr>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kern w:val="0"/>
                      <w:sz w:val="21"/>
                      <w:szCs w:val="21"/>
                    </w:rPr>
                    <w:t>202</w:t>
                  </w:r>
                  <w:r>
                    <w:rPr>
                      <w:rFonts w:hint="default" w:ascii="Times New Roman" w:hAnsi="Times New Roman" w:eastAsia="宋体" w:cs="Times New Roman"/>
                      <w:kern w:val="0"/>
                      <w:sz w:val="21"/>
                      <w:szCs w:val="21"/>
                      <w:lang w:val="en-US" w:eastAsia="zh-CN"/>
                    </w:rPr>
                    <w:t>5.</w:t>
                  </w:r>
                  <w:r>
                    <w:rPr>
                      <w:rFonts w:hint="eastAsia" w:ascii="Times New Roman" w:hAnsi="Times New Roman" w:eastAsia="宋体" w:cs="Times New Roman"/>
                      <w:kern w:val="0"/>
                      <w:sz w:val="21"/>
                      <w:szCs w:val="21"/>
                      <w:lang w:val="en-US" w:eastAsia="zh-CN"/>
                    </w:rPr>
                    <w:t>9.21</w:t>
                  </w:r>
                </w:p>
              </w:tc>
              <w:tc>
                <w:tcPr>
                  <w:tcW w:w="2793" w:type="dxa"/>
                  <w:vAlign w:val="center"/>
                </w:tcPr>
                <w:p w14:paraId="42BE6BEC">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1#东</w:t>
                  </w:r>
                  <w:r>
                    <w:rPr>
                      <w:rFonts w:hint="default" w:ascii="Times New Roman" w:hAnsi="Times New Roman" w:eastAsia="宋体" w:cs="Times New Roman"/>
                      <w:color w:val="000000" w:themeColor="text1"/>
                      <w:kern w:val="0"/>
                      <w:sz w:val="21"/>
                      <w:szCs w:val="21"/>
                      <w14:textFill>
                        <w14:solidFill>
                          <w14:schemeClr w14:val="tx1"/>
                        </w14:solidFill>
                      </w14:textFill>
                    </w:rPr>
                    <w:t>厂界外1米处</w:t>
                  </w:r>
                </w:p>
              </w:tc>
              <w:tc>
                <w:tcPr>
                  <w:tcW w:w="2119" w:type="dxa"/>
                  <w:vAlign w:val="center"/>
                </w:tcPr>
                <w:p w14:paraId="42AE29F2">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60</w:t>
                  </w:r>
                </w:p>
              </w:tc>
              <w:tc>
                <w:tcPr>
                  <w:tcW w:w="2557" w:type="dxa"/>
                  <w:vAlign w:val="center"/>
                </w:tcPr>
                <w:p w14:paraId="53E47436">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60</w:t>
                  </w:r>
                </w:p>
              </w:tc>
            </w:tr>
            <w:tr w14:paraId="27D71AE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19" w:hRule="atLeast"/>
                <w:jc w:val="center"/>
              </w:trPr>
              <w:tc>
                <w:tcPr>
                  <w:tcW w:w="1790" w:type="dxa"/>
                  <w:vMerge w:val="continue"/>
                  <w:vAlign w:val="center"/>
                </w:tcPr>
                <w:p w14:paraId="3D7F188E">
                  <w:pPr>
                    <w:jc w:val="center"/>
                    <w:rPr>
                      <w:rFonts w:hint="default" w:ascii="Times New Roman" w:hAnsi="Times New Roman" w:eastAsia="宋体" w:cs="Times New Roman"/>
                      <w:sz w:val="21"/>
                      <w:szCs w:val="21"/>
                    </w:rPr>
                  </w:pPr>
                </w:p>
              </w:tc>
              <w:tc>
                <w:tcPr>
                  <w:tcW w:w="2793" w:type="dxa"/>
                  <w:vAlign w:val="center"/>
                </w:tcPr>
                <w:p w14:paraId="246A95EE">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2#南</w:t>
                  </w:r>
                  <w:r>
                    <w:rPr>
                      <w:rFonts w:hint="default" w:ascii="Times New Roman" w:hAnsi="Times New Roman" w:eastAsia="宋体" w:cs="Times New Roman"/>
                      <w:color w:val="000000" w:themeColor="text1"/>
                      <w:kern w:val="0"/>
                      <w:sz w:val="21"/>
                      <w:szCs w:val="21"/>
                      <w14:textFill>
                        <w14:solidFill>
                          <w14:schemeClr w14:val="tx1"/>
                        </w14:solidFill>
                      </w14:textFill>
                    </w:rPr>
                    <w:t>厂界外1米处</w:t>
                  </w:r>
                </w:p>
              </w:tc>
              <w:tc>
                <w:tcPr>
                  <w:tcW w:w="2119" w:type="dxa"/>
                  <w:vAlign w:val="center"/>
                </w:tcPr>
                <w:p w14:paraId="42F5444E">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58</w:t>
                  </w:r>
                </w:p>
              </w:tc>
              <w:tc>
                <w:tcPr>
                  <w:tcW w:w="2557" w:type="dxa"/>
                  <w:vAlign w:val="center"/>
                </w:tcPr>
                <w:p w14:paraId="1660D9C0">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61</w:t>
                  </w:r>
                </w:p>
              </w:tc>
            </w:tr>
            <w:tr w14:paraId="28019F6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1790" w:type="dxa"/>
                  <w:vMerge w:val="continue"/>
                  <w:vAlign w:val="center"/>
                </w:tcPr>
                <w:p w14:paraId="3CB744BE">
                  <w:pPr>
                    <w:jc w:val="center"/>
                    <w:rPr>
                      <w:rFonts w:hint="default" w:ascii="Times New Roman" w:hAnsi="Times New Roman" w:eastAsia="宋体" w:cs="Times New Roman"/>
                      <w:sz w:val="21"/>
                      <w:szCs w:val="21"/>
                    </w:rPr>
                  </w:pPr>
                </w:p>
              </w:tc>
              <w:tc>
                <w:tcPr>
                  <w:tcW w:w="2793" w:type="dxa"/>
                  <w:vAlign w:val="center"/>
                </w:tcPr>
                <w:p w14:paraId="7B97AB8D">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3#西</w:t>
                  </w:r>
                  <w:r>
                    <w:rPr>
                      <w:rFonts w:hint="default" w:ascii="Times New Roman" w:hAnsi="Times New Roman" w:eastAsia="宋体" w:cs="Times New Roman"/>
                      <w:color w:val="000000" w:themeColor="text1"/>
                      <w:kern w:val="0"/>
                      <w:sz w:val="21"/>
                      <w:szCs w:val="21"/>
                      <w14:textFill>
                        <w14:solidFill>
                          <w14:schemeClr w14:val="tx1"/>
                        </w14:solidFill>
                      </w14:textFill>
                    </w:rPr>
                    <w:t>厂界外1米处</w:t>
                  </w:r>
                </w:p>
              </w:tc>
              <w:tc>
                <w:tcPr>
                  <w:tcW w:w="2119" w:type="dxa"/>
                  <w:vAlign w:val="center"/>
                </w:tcPr>
                <w:p w14:paraId="54F83000">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61</w:t>
                  </w:r>
                </w:p>
              </w:tc>
              <w:tc>
                <w:tcPr>
                  <w:tcW w:w="2557" w:type="dxa"/>
                  <w:vAlign w:val="center"/>
                </w:tcPr>
                <w:p w14:paraId="6FA1456A">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59</w:t>
                  </w:r>
                </w:p>
              </w:tc>
            </w:tr>
            <w:tr w14:paraId="3BF11A2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1790" w:type="dxa"/>
                  <w:vMerge w:val="continue"/>
                  <w:vAlign w:val="center"/>
                </w:tcPr>
                <w:p w14:paraId="32019D29">
                  <w:pPr>
                    <w:jc w:val="center"/>
                    <w:rPr>
                      <w:rFonts w:hint="default" w:ascii="Times New Roman" w:hAnsi="Times New Roman" w:eastAsia="宋体" w:cs="Times New Roman"/>
                      <w:sz w:val="21"/>
                      <w:szCs w:val="21"/>
                    </w:rPr>
                  </w:pPr>
                </w:p>
              </w:tc>
              <w:tc>
                <w:tcPr>
                  <w:tcW w:w="2793" w:type="dxa"/>
                  <w:vAlign w:val="center"/>
                </w:tcPr>
                <w:p w14:paraId="0E483AA8">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4#北</w:t>
                  </w:r>
                  <w:r>
                    <w:rPr>
                      <w:rFonts w:hint="default" w:ascii="Times New Roman" w:hAnsi="Times New Roman" w:eastAsia="宋体" w:cs="Times New Roman"/>
                      <w:color w:val="000000" w:themeColor="text1"/>
                      <w:kern w:val="0"/>
                      <w:sz w:val="21"/>
                      <w:szCs w:val="21"/>
                      <w14:textFill>
                        <w14:solidFill>
                          <w14:schemeClr w14:val="tx1"/>
                        </w14:solidFill>
                      </w14:textFill>
                    </w:rPr>
                    <w:t>厂界外1米处</w:t>
                  </w:r>
                </w:p>
              </w:tc>
              <w:tc>
                <w:tcPr>
                  <w:tcW w:w="2119" w:type="dxa"/>
                  <w:vAlign w:val="center"/>
                </w:tcPr>
                <w:p w14:paraId="4139C63B">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59</w:t>
                  </w:r>
                </w:p>
              </w:tc>
              <w:tc>
                <w:tcPr>
                  <w:tcW w:w="2557" w:type="dxa"/>
                  <w:vAlign w:val="center"/>
                </w:tcPr>
                <w:p w14:paraId="058FBB6D">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60</w:t>
                  </w:r>
                </w:p>
              </w:tc>
            </w:tr>
            <w:tr w14:paraId="3E5C471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03" w:hRule="atLeast"/>
                <w:jc w:val="center"/>
              </w:trPr>
              <w:tc>
                <w:tcPr>
                  <w:tcW w:w="1790" w:type="dxa"/>
                  <w:vAlign w:val="center"/>
                </w:tcPr>
                <w:p w14:paraId="5DE9FEFC">
                  <w:pPr>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标准限制</w:t>
                  </w:r>
                </w:p>
              </w:tc>
              <w:tc>
                <w:tcPr>
                  <w:tcW w:w="7469" w:type="dxa"/>
                  <w:gridSpan w:val="3"/>
                  <w:vAlign w:val="center"/>
                </w:tcPr>
                <w:p w14:paraId="1197881C">
                  <w:pPr>
                    <w:jc w:val="center"/>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spacing w:val="15"/>
                      <w:sz w:val="21"/>
                      <w:szCs w:val="21"/>
                      <w:lang w:val="en-US" w:eastAsia="zh-CN"/>
                    </w:rPr>
                    <w:t>噪声昼间执行65</w:t>
                  </w:r>
                  <w:r>
                    <w:rPr>
                      <w:rFonts w:hint="default" w:ascii="Times New Roman" w:hAnsi="Times New Roman" w:eastAsia="宋体" w:cs="Times New Roman"/>
                      <w:color w:val="000000"/>
                      <w:sz w:val="21"/>
                      <w:szCs w:val="21"/>
                    </w:rPr>
                    <w:t>dB(A)</w:t>
                  </w:r>
                </w:p>
              </w:tc>
            </w:tr>
          </w:tbl>
          <w:p w14:paraId="5CE00152">
            <w:pPr>
              <w:pStyle w:val="51"/>
              <w:spacing w:line="360" w:lineRule="auto"/>
              <w:ind w:firstLine="480" w:firstLineChars="200"/>
              <w:jc w:val="both"/>
              <w:rPr>
                <w:rFonts w:hint="default" w:ascii="Times New Roman" w:hAnsi="Times New Roman" w:cs="Times New Roman"/>
                <w:color w:val="000000" w:themeColor="text1"/>
                <w14:textFill>
                  <w14:solidFill>
                    <w14:schemeClr w14:val="tx1"/>
                  </w14:solidFill>
                </w14:textFill>
              </w:rPr>
            </w:pPr>
          </w:p>
          <w:p w14:paraId="6C8718B2">
            <w:pPr>
              <w:pStyle w:val="51"/>
              <w:spacing w:line="360" w:lineRule="auto"/>
              <w:ind w:firstLine="480" w:firstLineChars="200"/>
              <w:jc w:val="both"/>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cs="Times New Roman"/>
                <w:color w:val="000000" w:themeColor="text1"/>
                <w14:textFill>
                  <w14:solidFill>
                    <w14:schemeClr w14:val="tx1"/>
                  </w14:solidFill>
                </w14:textFill>
              </w:rPr>
              <w:t>由表7</w:t>
            </w:r>
            <w:r>
              <w:rPr>
                <w:rFonts w:hint="default" w:ascii="Times New Roman" w:hAnsi="Times New Roman" w:cs="Times New Roman"/>
                <w:color w:val="000000" w:themeColor="text1"/>
                <w:lang w:val="en-US" w:eastAsia="zh-CN"/>
                <w14:textFill>
                  <w14:solidFill>
                    <w14:schemeClr w14:val="tx1"/>
                  </w14:solidFill>
                </w14:textFill>
              </w:rPr>
              <w:t>-</w:t>
            </w:r>
            <w:r>
              <w:rPr>
                <w:rFonts w:hint="eastAsia" w:ascii="Times New Roman" w:hAnsi="Times New Roman" w:cs="Times New Roman"/>
                <w:color w:val="000000" w:themeColor="text1"/>
                <w:lang w:val="en-US" w:eastAsia="zh-CN"/>
                <w14:textFill>
                  <w14:solidFill>
                    <w14:schemeClr w14:val="tx1"/>
                  </w14:solidFill>
                </w14:textFill>
              </w:rPr>
              <w:t>10</w:t>
            </w:r>
            <w:r>
              <w:rPr>
                <w:rFonts w:hint="default" w:ascii="Times New Roman" w:hAnsi="Times New Roman" w:cs="Times New Roman"/>
                <w:color w:val="000000" w:themeColor="text1"/>
                <w14:textFill>
                  <w14:solidFill>
                    <w14:schemeClr w14:val="tx1"/>
                  </w14:solidFill>
                </w14:textFill>
              </w:rPr>
              <w:t>的</w:t>
            </w:r>
            <w:r>
              <w:rPr>
                <w:rFonts w:hint="eastAsia" w:ascii="Times New Roman" w:hAnsi="Times New Roman" w:cs="Times New Roman"/>
                <w:color w:val="000000" w:themeColor="text1"/>
                <w:lang w:val="en-US" w:eastAsia="zh-CN"/>
                <w14:textFill>
                  <w14:solidFill>
                    <w14:schemeClr w14:val="tx1"/>
                  </w14:solidFill>
                </w14:textFill>
              </w:rPr>
              <w:t>检测</w:t>
            </w:r>
            <w:r>
              <w:rPr>
                <w:rFonts w:hint="default" w:ascii="Times New Roman" w:hAnsi="Times New Roman" w:cs="Times New Roman"/>
                <w:color w:val="000000" w:themeColor="text1"/>
                <w14:textFill>
                  <w14:solidFill>
                    <w14:schemeClr w14:val="tx1"/>
                  </w14:solidFill>
                </w14:textFill>
              </w:rPr>
              <w:t>结果分析可知：本项目</w:t>
            </w:r>
            <w:r>
              <w:rPr>
                <w:rFonts w:hint="eastAsia" w:ascii="Times New Roman" w:hAnsi="Times New Roman" w:cs="Times New Roman"/>
                <w:color w:val="000000" w:themeColor="text1"/>
                <w:lang w:val="en-US" w:eastAsia="zh-CN"/>
                <w14:textFill>
                  <w14:solidFill>
                    <w14:schemeClr w14:val="tx1"/>
                  </w14:solidFill>
                </w14:textFill>
              </w:rPr>
              <w:t>东、南、西</w:t>
            </w:r>
            <w:r>
              <w:rPr>
                <w:rFonts w:hint="eastAsia" w:cs="Times New Roman"/>
                <w:color w:val="000000" w:themeColor="text1"/>
                <w:lang w:val="en-US" w:eastAsia="zh-CN"/>
                <w14:textFill>
                  <w14:solidFill>
                    <w14:schemeClr w14:val="tx1"/>
                  </w14:solidFill>
                </w14:textFill>
              </w:rPr>
              <w:t>、北</w:t>
            </w:r>
            <w:r>
              <w:rPr>
                <w:rFonts w:hint="eastAsia" w:ascii="Times New Roman" w:hAnsi="Times New Roman" w:cs="Times New Roman"/>
                <w:color w:val="000000" w:themeColor="text1"/>
                <w:lang w:val="en-US" w:eastAsia="zh-CN"/>
                <w14:textFill>
                  <w14:solidFill>
                    <w14:schemeClr w14:val="tx1"/>
                  </w14:solidFill>
                </w14:textFill>
              </w:rPr>
              <w:t>厂界</w:t>
            </w:r>
            <w:r>
              <w:rPr>
                <w:rFonts w:hint="default" w:ascii="Times New Roman" w:hAnsi="Times New Roman" w:cs="Times New Roman"/>
                <w:color w:val="000000" w:themeColor="text1"/>
                <w14:textFill>
                  <w14:solidFill>
                    <w14:schemeClr w14:val="tx1"/>
                  </w14:solidFill>
                </w14:textFill>
              </w:rPr>
              <w:t>昼</w:t>
            </w:r>
            <w:r>
              <w:rPr>
                <w:rFonts w:hint="eastAsia" w:ascii="Times New Roman" w:hAnsi="Times New Roman" w:cs="Times New Roman"/>
                <w:color w:val="000000" w:themeColor="text1"/>
                <w:lang w:val="en-US" w:eastAsia="zh-CN"/>
                <w14:textFill>
                  <w14:solidFill>
                    <w14:schemeClr w14:val="tx1"/>
                  </w14:solidFill>
                </w14:textFill>
              </w:rPr>
              <w:t>间</w:t>
            </w:r>
            <w:r>
              <w:rPr>
                <w:rFonts w:hint="default" w:ascii="Times New Roman" w:hAnsi="Times New Roman" w:cs="Times New Roman"/>
                <w:color w:val="000000" w:themeColor="text1"/>
                <w14:textFill>
                  <w14:solidFill>
                    <w14:schemeClr w14:val="tx1"/>
                  </w14:solidFill>
                </w14:textFill>
              </w:rPr>
              <w:t>噪声</w:t>
            </w:r>
            <w:r>
              <w:rPr>
                <w:rFonts w:hint="eastAsia" w:ascii="Times New Roman" w:hAnsi="Times New Roman" w:cs="Times New Roman"/>
                <w:color w:val="000000" w:themeColor="text1"/>
                <w:lang w:val="en-US" w:eastAsia="zh-CN"/>
                <w14:textFill>
                  <w14:solidFill>
                    <w14:schemeClr w14:val="tx1"/>
                  </w14:solidFill>
                </w14:textFill>
              </w:rPr>
              <w:t>满足</w:t>
            </w:r>
            <w:r>
              <w:rPr>
                <w:rFonts w:hint="default" w:ascii="Times New Roman" w:hAnsi="Times New Roman" w:cs="Times New Roman"/>
                <w:color w:val="000000" w:themeColor="text1"/>
                <w14:textFill>
                  <w14:solidFill>
                    <w14:schemeClr w14:val="tx1"/>
                  </w14:solidFill>
                </w14:textFill>
              </w:rPr>
              <w:t>《工业企业厂界环境噪声排放标准》（GB12348-2008）中3类标准限值要求</w:t>
            </w:r>
            <w:r>
              <w:rPr>
                <w:rFonts w:hint="default" w:ascii="Times New Roman" w:hAnsi="Times New Roman" w:eastAsia="宋体" w:cs="Times New Roman"/>
                <w:b w:val="0"/>
                <w:bCs w:val="0"/>
                <w:color w:val="auto"/>
                <w:sz w:val="24"/>
                <w:szCs w:val="24"/>
                <w:highlight w:val="none"/>
              </w:rPr>
              <w:t>（昼间6</w:t>
            </w:r>
            <w:r>
              <w:rPr>
                <w:rFonts w:hint="eastAsia" w:eastAsia="宋体" w:cs="Times New Roman"/>
                <w:b w:val="0"/>
                <w:bCs w:val="0"/>
                <w:color w:val="auto"/>
                <w:sz w:val="24"/>
                <w:szCs w:val="24"/>
                <w:highlight w:val="none"/>
                <w:lang w:val="en-US" w:eastAsia="zh-CN"/>
              </w:rPr>
              <w:t>5</w:t>
            </w:r>
            <w:r>
              <w:rPr>
                <w:rFonts w:hint="default" w:ascii="Times New Roman" w:hAnsi="Times New Roman" w:eastAsia="宋体" w:cs="Times New Roman"/>
                <w:b w:val="0"/>
                <w:bCs w:val="0"/>
                <w:color w:val="auto"/>
                <w:sz w:val="24"/>
                <w:szCs w:val="24"/>
                <w:highlight w:val="none"/>
              </w:rPr>
              <w:t>dB（A））</w:t>
            </w:r>
            <w:r>
              <w:rPr>
                <w:rFonts w:hint="default" w:ascii="Times New Roman" w:hAnsi="Times New Roman" w:eastAsia="宋体" w:cs="Times New Roman"/>
                <w:b w:val="0"/>
                <w:bCs w:val="0"/>
                <w:color w:val="auto"/>
                <w:sz w:val="24"/>
                <w:szCs w:val="24"/>
                <w:highlight w:val="none"/>
                <w:lang w:eastAsia="zh-CN"/>
              </w:rPr>
              <w:t>，</w:t>
            </w:r>
          </w:p>
          <w:p w14:paraId="215BF615">
            <w:pPr>
              <w:pStyle w:val="3"/>
              <w:numPr>
                <w:ilvl w:val="0"/>
                <w:numId w:val="0"/>
              </w:numPr>
              <w:ind w:leftChars="200"/>
              <w:rPr>
                <w:rFonts w:hint="eastAsia" w:ascii="Times New Roman" w:hAnsi="Times New Roman" w:cs="Times New Roman"/>
                <w:szCs w:val="24"/>
                <w:lang w:val="en-US" w:eastAsia="zh-CN"/>
              </w:rPr>
            </w:pPr>
            <w:r>
              <w:rPr>
                <w:rFonts w:hint="eastAsia" w:cs="Times New Roman"/>
                <w:szCs w:val="24"/>
                <w:lang w:val="en-US" w:eastAsia="zh-CN"/>
              </w:rPr>
              <w:t>四、</w:t>
            </w:r>
            <w:r>
              <w:rPr>
                <w:rFonts w:hint="eastAsia" w:ascii="Times New Roman" w:hAnsi="Times New Roman" w:cs="Times New Roman"/>
                <w:szCs w:val="24"/>
                <w:lang w:val="en-US" w:eastAsia="zh-CN"/>
              </w:rPr>
              <w:t>总量控制</w:t>
            </w:r>
          </w:p>
          <w:p w14:paraId="5C7512D5">
            <w:pPr>
              <w:spacing w:line="360" w:lineRule="auto"/>
              <w:ind w:firstLine="480" w:firstLineChars="200"/>
              <w:rPr>
                <w:rFonts w:hint="default" w:ascii="Times New Roman" w:hAnsi="Times New Roman" w:eastAsia="宋体" w:cs="Times New Roman"/>
                <w:color w:val="000000" w:themeColor="text1"/>
                <w:kern w:val="24"/>
                <w:sz w:val="24"/>
                <w:szCs w:val="24"/>
                <w:lang w:val="en-US" w:eastAsia="zh-CN" w:bidi="ar-SA"/>
                <w14:textFill>
                  <w14:solidFill>
                    <w14:schemeClr w14:val="tx1"/>
                  </w14:solidFill>
                </w14:textFill>
              </w:rPr>
            </w:pPr>
            <w:r>
              <w:rPr>
                <w:rFonts w:hint="default" w:ascii="Times New Roman" w:hAnsi="Times New Roman" w:eastAsia="宋体" w:cs="Times New Roman"/>
                <w:color w:val="000000" w:themeColor="text1"/>
                <w:kern w:val="24"/>
                <w:sz w:val="24"/>
                <w:szCs w:val="24"/>
                <w:lang w:val="en-US" w:eastAsia="zh-CN" w:bidi="ar-SA"/>
                <w14:textFill>
                  <w14:solidFill>
                    <w14:schemeClr w14:val="tx1"/>
                  </w14:solidFill>
                </w14:textFill>
              </w:rPr>
              <w:t>根据环评</w:t>
            </w:r>
            <w:r>
              <w:rPr>
                <w:rFonts w:hint="eastAsia" w:ascii="Times New Roman" w:hAnsi="Times New Roman" w:eastAsia="宋体" w:cs="Times New Roman"/>
                <w:color w:val="000000" w:themeColor="text1"/>
                <w:kern w:val="24"/>
                <w:sz w:val="24"/>
                <w:szCs w:val="24"/>
                <w:lang w:val="en-US" w:eastAsia="zh-CN" w:bidi="ar-SA"/>
                <w14:textFill>
                  <w14:solidFill>
                    <w14:schemeClr w14:val="tx1"/>
                  </w14:solidFill>
                </w14:textFill>
              </w:rPr>
              <w:t>批复</w:t>
            </w:r>
            <w:r>
              <w:rPr>
                <w:rFonts w:hint="default" w:ascii="Times New Roman" w:hAnsi="Times New Roman" w:eastAsia="宋体" w:cs="Times New Roman"/>
                <w:color w:val="000000" w:themeColor="text1"/>
                <w:kern w:val="24"/>
                <w:sz w:val="24"/>
                <w:szCs w:val="24"/>
                <w:lang w:val="en-US" w:eastAsia="zh-CN" w:bidi="ar-SA"/>
                <w14:textFill>
                  <w14:solidFill>
                    <w14:schemeClr w14:val="tx1"/>
                  </w14:solidFill>
                </w14:textFill>
              </w:rPr>
              <w:t>，</w:t>
            </w:r>
            <w:r>
              <w:rPr>
                <w:rFonts w:hint="default" w:ascii="Times New Roman" w:hAnsi="Times New Roman" w:cs="Times New Roman"/>
                <w:sz w:val="24"/>
                <w:szCs w:val="28"/>
                <w:lang w:val="en-US" w:eastAsia="zh-CN"/>
              </w:rPr>
              <w:t>本项目新增</w:t>
            </w:r>
            <w:r>
              <w:rPr>
                <w:rFonts w:hint="eastAsia" w:ascii="Times New Roman" w:hAnsi="Times New Roman" w:cs="Times New Roman"/>
                <w:sz w:val="24"/>
                <w:szCs w:val="28"/>
                <w:lang w:val="en-US" w:eastAsia="zh-CN"/>
              </w:rPr>
              <w:t>废气VOCs</w:t>
            </w:r>
            <w:r>
              <w:rPr>
                <w:rFonts w:hint="default" w:ascii="Times New Roman" w:hAnsi="Times New Roman" w:cs="Times New Roman"/>
                <w:sz w:val="24"/>
                <w:szCs w:val="28"/>
                <w:lang w:val="en-US" w:eastAsia="zh-CN"/>
              </w:rPr>
              <w:t>总量</w:t>
            </w:r>
            <w:r>
              <w:rPr>
                <w:rFonts w:hint="eastAsia" w:ascii="Times New Roman" w:hAnsi="Times New Roman" w:cs="Times New Roman"/>
                <w:sz w:val="24"/>
                <w:szCs w:val="28"/>
                <w:lang w:val="en-US" w:eastAsia="zh-CN"/>
              </w:rPr>
              <w:t>控制</w:t>
            </w:r>
            <w:r>
              <w:rPr>
                <w:rFonts w:hint="default" w:ascii="Times New Roman" w:hAnsi="Times New Roman" w:cs="Times New Roman"/>
                <w:sz w:val="24"/>
                <w:szCs w:val="28"/>
                <w:lang w:val="en-US" w:eastAsia="zh-CN"/>
              </w:rPr>
              <w:t>指标</w:t>
            </w:r>
            <w:r>
              <w:rPr>
                <w:rFonts w:hint="eastAsia" w:ascii="Times New Roman" w:hAnsi="Times New Roman" w:cs="Times New Roman"/>
                <w:sz w:val="24"/>
                <w:szCs w:val="28"/>
                <w:lang w:val="en-US" w:eastAsia="zh-CN"/>
              </w:rPr>
              <w:t>为0.00003</w:t>
            </w:r>
            <w:r>
              <w:rPr>
                <w:rFonts w:hint="default" w:ascii="Times New Roman" w:hAnsi="Times New Roman" w:cs="Times New Roman"/>
                <w:sz w:val="24"/>
                <w:szCs w:val="28"/>
                <w:lang w:val="en-US" w:eastAsia="zh-CN"/>
              </w:rPr>
              <w:t>t/a</w:t>
            </w:r>
            <w:r>
              <w:rPr>
                <w:rFonts w:hint="eastAsia" w:ascii="Times New Roman" w:hAnsi="Times New Roman" w:cs="Times New Roman"/>
                <w:sz w:val="24"/>
                <w:szCs w:val="28"/>
                <w:lang w:val="en-US" w:eastAsia="zh-CN"/>
              </w:rPr>
              <w:t>，</w:t>
            </w:r>
            <w:r>
              <w:rPr>
                <w:rFonts w:hint="default" w:ascii="Times New Roman" w:hAnsi="Times New Roman" w:cs="Times New Roman"/>
                <w:sz w:val="24"/>
                <w:szCs w:val="28"/>
                <w:lang w:val="en-US" w:eastAsia="zh-CN"/>
              </w:rPr>
              <w:t>废水总量</w:t>
            </w:r>
            <w:r>
              <w:rPr>
                <w:rFonts w:hint="eastAsia" w:ascii="Times New Roman" w:hAnsi="Times New Roman" w:cs="Times New Roman"/>
                <w:sz w:val="24"/>
                <w:szCs w:val="28"/>
                <w:lang w:val="en-US" w:eastAsia="zh-CN"/>
              </w:rPr>
              <w:t>控制</w:t>
            </w:r>
            <w:r>
              <w:rPr>
                <w:rFonts w:hint="default" w:ascii="Times New Roman" w:hAnsi="Times New Roman" w:cs="Times New Roman"/>
                <w:sz w:val="24"/>
                <w:szCs w:val="28"/>
                <w:lang w:val="en-US" w:eastAsia="zh-CN"/>
              </w:rPr>
              <w:t>指标为</w:t>
            </w:r>
            <w:r>
              <w:rPr>
                <w:rFonts w:hint="default" w:ascii="Times New Roman" w:hAnsi="Times New Roman" w:cs="Times New Roman"/>
                <w:sz w:val="24"/>
                <w:szCs w:val="28"/>
                <w:u w:val="none"/>
                <w:lang w:val="en-US" w:eastAsia="zh-CN"/>
              </w:rPr>
              <w:t>COD</w:t>
            </w:r>
            <w:r>
              <w:rPr>
                <w:rFonts w:hint="eastAsia" w:ascii="Times New Roman" w:hAnsi="Times New Roman" w:cs="Times New Roman"/>
                <w:sz w:val="24"/>
                <w:szCs w:val="28"/>
                <w:u w:val="none"/>
                <w:lang w:val="en-US" w:eastAsia="zh-CN"/>
              </w:rPr>
              <w:t>cr</w:t>
            </w:r>
            <w:r>
              <w:rPr>
                <w:rFonts w:hint="default" w:ascii="Times New Roman" w:hAnsi="Times New Roman" w:cs="Times New Roman"/>
                <w:sz w:val="24"/>
                <w:szCs w:val="28"/>
                <w:lang w:val="en-US" w:eastAsia="zh-CN"/>
              </w:rPr>
              <w:t>：</w:t>
            </w:r>
            <w:r>
              <w:rPr>
                <w:rFonts w:hint="eastAsia" w:ascii="Times New Roman" w:hAnsi="Times New Roman" w:cs="Times New Roman"/>
                <w:sz w:val="24"/>
                <w:szCs w:val="28"/>
                <w:lang w:val="en-US" w:eastAsia="zh-CN"/>
              </w:rPr>
              <w:t>0.224</w:t>
            </w:r>
            <w:r>
              <w:rPr>
                <w:rFonts w:hint="default" w:ascii="Times New Roman" w:hAnsi="Times New Roman" w:cs="Times New Roman"/>
                <w:sz w:val="24"/>
                <w:szCs w:val="28"/>
                <w:lang w:val="en-US" w:eastAsia="zh-CN"/>
              </w:rPr>
              <w:t>t/a、氨氮：0.0</w:t>
            </w:r>
            <w:r>
              <w:rPr>
                <w:rFonts w:hint="eastAsia" w:ascii="Times New Roman" w:hAnsi="Times New Roman" w:cs="Times New Roman"/>
                <w:sz w:val="24"/>
                <w:szCs w:val="28"/>
                <w:lang w:val="en-US" w:eastAsia="zh-CN"/>
              </w:rPr>
              <w:t>253</w:t>
            </w:r>
            <w:r>
              <w:rPr>
                <w:rFonts w:hint="default" w:ascii="Times New Roman" w:hAnsi="Times New Roman" w:cs="Times New Roman"/>
                <w:sz w:val="24"/>
                <w:szCs w:val="28"/>
                <w:lang w:val="en-US" w:eastAsia="zh-CN"/>
              </w:rPr>
              <w:t>t/a。</w:t>
            </w:r>
          </w:p>
          <w:p w14:paraId="64EF093D">
            <w:pPr>
              <w:pStyle w:val="4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leftChars="0" w:firstLine="480" w:firstLineChars="200"/>
              <w:jc w:val="both"/>
              <w:textAlignment w:val="auto"/>
              <w:rPr>
                <w:rFonts w:hint="default" w:ascii="Times New Roman" w:hAnsi="Times New Roman" w:cs="Times New Roman"/>
                <w:b w:val="0"/>
                <w:bCs w:val="0"/>
                <w:sz w:val="24"/>
                <w:szCs w:val="24"/>
                <w:highlight w:val="none"/>
                <w:lang w:val="en-US" w:eastAsia="zh-CN"/>
              </w:rPr>
            </w:pPr>
            <w:r>
              <w:rPr>
                <w:rFonts w:hint="default" w:ascii="Times New Roman" w:hAnsi="Times New Roman" w:cs="Times New Roman"/>
                <w:b w:val="0"/>
                <w:bCs w:val="0"/>
                <w:sz w:val="24"/>
                <w:szCs w:val="24"/>
                <w:highlight w:val="none"/>
                <w:lang w:val="en-US" w:eastAsia="zh-CN"/>
              </w:rPr>
              <w:t>根据验收检测报告，本项目</w:t>
            </w:r>
            <w:r>
              <w:rPr>
                <w:rFonts w:hint="eastAsia" w:ascii="Times New Roman" w:hAnsi="Times New Roman" w:cs="Times New Roman"/>
                <w:b w:val="0"/>
                <w:bCs w:val="0"/>
                <w:sz w:val="24"/>
                <w:szCs w:val="24"/>
                <w:highlight w:val="none"/>
                <w:lang w:val="en-US" w:eastAsia="zh-CN"/>
              </w:rPr>
              <w:t>实验室废气</w:t>
            </w:r>
            <w:r>
              <w:rPr>
                <w:rFonts w:hint="default" w:ascii="Times New Roman" w:hAnsi="Times New Roman" w:cs="Times New Roman"/>
                <w:b w:val="0"/>
                <w:bCs w:val="0"/>
                <w:sz w:val="24"/>
                <w:szCs w:val="24"/>
                <w:highlight w:val="none"/>
                <w:lang w:val="en-US" w:eastAsia="zh-CN"/>
              </w:rPr>
              <w:t>非甲烷总烃最大排放速率为</w:t>
            </w:r>
            <w:r>
              <w:rPr>
                <w:rFonts w:hint="eastAsia" w:ascii="Times New Roman" w:hAnsi="Times New Roman" w:cs="Times New Roman"/>
                <w:b w:val="0"/>
                <w:bCs w:val="0"/>
                <w:sz w:val="24"/>
                <w:szCs w:val="24"/>
                <w:highlight w:val="none"/>
                <w:lang w:val="en-US" w:eastAsia="zh-CN"/>
              </w:rPr>
              <w:t>0.00</w:t>
            </w:r>
            <w:r>
              <w:rPr>
                <w:rFonts w:hint="default" w:ascii="Times New Roman" w:hAnsi="Times New Roman" w:cs="Times New Roman"/>
                <w:b w:val="0"/>
                <w:bCs w:val="0"/>
                <w:sz w:val="24"/>
                <w:szCs w:val="24"/>
                <w:highlight w:val="none"/>
                <w:lang w:val="en-US" w:eastAsia="zh-CN"/>
              </w:rPr>
              <w:t>371kg/h，</w:t>
            </w:r>
            <w:r>
              <w:rPr>
                <w:b w:val="0"/>
                <w:bCs w:val="0"/>
                <w:spacing w:val="-4"/>
                <w:sz w:val="24"/>
                <w:highlight w:val="none"/>
                <w:vertAlign w:val="baseline"/>
              </w:rPr>
              <w:t>挥发性试剂的工作时间约为</w:t>
            </w:r>
            <w:r>
              <w:rPr>
                <w:rFonts w:ascii="Times New Roman" w:eastAsia="Times New Roman"/>
                <w:b w:val="0"/>
                <w:bCs w:val="0"/>
                <w:spacing w:val="-4"/>
                <w:sz w:val="24"/>
                <w:highlight w:val="none"/>
                <w:vertAlign w:val="baseline"/>
              </w:rPr>
              <w:t>4h/d</w:t>
            </w:r>
            <w:r>
              <w:rPr>
                <w:rFonts w:hint="eastAsia" w:ascii="Times New Roman" w:eastAsia="宋体"/>
                <w:b w:val="0"/>
                <w:bCs w:val="0"/>
                <w:spacing w:val="-4"/>
                <w:sz w:val="24"/>
                <w:highlight w:val="none"/>
                <w:vertAlign w:val="baseline"/>
                <w:lang w:eastAsia="zh-CN"/>
              </w:rPr>
              <w:t>，</w:t>
            </w:r>
            <w:r>
              <w:rPr>
                <w:b w:val="0"/>
                <w:bCs w:val="0"/>
                <w:spacing w:val="-4"/>
                <w:sz w:val="24"/>
                <w:highlight w:val="none"/>
                <w:vertAlign w:val="baseline"/>
              </w:rPr>
              <w:t>年工作</w:t>
            </w:r>
            <w:r>
              <w:rPr>
                <w:rFonts w:ascii="Times New Roman" w:eastAsia="Times New Roman"/>
                <w:b w:val="0"/>
                <w:bCs w:val="0"/>
                <w:spacing w:val="-4"/>
                <w:sz w:val="24"/>
                <w:highlight w:val="none"/>
                <w:vertAlign w:val="baseline"/>
              </w:rPr>
              <w:t>260</w:t>
            </w:r>
            <w:r>
              <w:rPr>
                <w:b w:val="0"/>
                <w:bCs w:val="0"/>
                <w:spacing w:val="-4"/>
                <w:sz w:val="24"/>
                <w:highlight w:val="none"/>
                <w:vertAlign w:val="baseline"/>
              </w:rPr>
              <w:t>天</w:t>
            </w:r>
            <w:r>
              <w:rPr>
                <w:rFonts w:hint="eastAsia"/>
                <w:b w:val="0"/>
                <w:bCs w:val="0"/>
                <w:spacing w:val="-4"/>
                <w:sz w:val="24"/>
                <w:highlight w:val="none"/>
                <w:vertAlign w:val="baseline"/>
                <w:lang w:eastAsia="zh-CN"/>
              </w:rPr>
              <w:t>，</w:t>
            </w:r>
            <w:r>
              <w:rPr>
                <w:rFonts w:hint="eastAsia"/>
                <w:b w:val="0"/>
                <w:bCs w:val="0"/>
                <w:spacing w:val="-4"/>
                <w:sz w:val="24"/>
                <w:highlight w:val="none"/>
                <w:vertAlign w:val="baseline"/>
                <w:lang w:val="en-US" w:eastAsia="zh-CN"/>
              </w:rPr>
              <w:t>则</w:t>
            </w:r>
            <w:r>
              <w:rPr>
                <w:rFonts w:hint="default" w:ascii="Times New Roman" w:hAnsi="Times New Roman" w:cs="Times New Roman"/>
                <w:b w:val="0"/>
                <w:bCs w:val="0"/>
                <w:sz w:val="24"/>
                <w:szCs w:val="24"/>
                <w:highlight w:val="none"/>
                <w:lang w:val="en-US" w:eastAsia="zh-CN"/>
              </w:rPr>
              <w:t>年</w:t>
            </w:r>
            <w:r>
              <w:rPr>
                <w:rFonts w:hint="eastAsia" w:ascii="Times New Roman" w:hAnsi="Times New Roman" w:cs="Times New Roman"/>
                <w:b w:val="0"/>
                <w:bCs w:val="0"/>
                <w:sz w:val="24"/>
                <w:szCs w:val="24"/>
                <w:highlight w:val="none"/>
                <w:lang w:val="en-US" w:eastAsia="zh-CN"/>
              </w:rPr>
              <w:t>工作</w:t>
            </w:r>
            <w:r>
              <w:rPr>
                <w:rFonts w:hint="default" w:ascii="Times New Roman" w:hAnsi="Times New Roman" w:cs="Times New Roman"/>
                <w:b w:val="0"/>
                <w:bCs w:val="0"/>
                <w:sz w:val="24"/>
                <w:szCs w:val="24"/>
                <w:highlight w:val="none"/>
                <w:lang w:val="en-US" w:eastAsia="zh-CN"/>
              </w:rPr>
              <w:t>时间为</w:t>
            </w:r>
            <w:r>
              <w:rPr>
                <w:rFonts w:hint="eastAsia" w:ascii="Times New Roman" w:hAnsi="Times New Roman" w:cs="Times New Roman"/>
                <w:b w:val="0"/>
                <w:bCs w:val="0"/>
                <w:sz w:val="24"/>
                <w:szCs w:val="24"/>
                <w:highlight w:val="none"/>
                <w:lang w:val="en-US" w:eastAsia="zh-CN"/>
              </w:rPr>
              <w:t>1040</w:t>
            </w:r>
            <w:r>
              <w:rPr>
                <w:rFonts w:hint="default" w:ascii="Times New Roman" w:hAnsi="Times New Roman" w:cs="Times New Roman"/>
                <w:b w:val="0"/>
                <w:bCs w:val="0"/>
                <w:sz w:val="24"/>
                <w:szCs w:val="24"/>
                <w:highlight w:val="none"/>
                <w:lang w:val="en-US" w:eastAsia="zh-CN"/>
              </w:rPr>
              <w:t>h</w:t>
            </w:r>
            <w:r>
              <w:rPr>
                <w:rFonts w:hint="eastAsia" w:ascii="Times New Roman" w:hAnsi="Times New Roman" w:cs="Times New Roman"/>
                <w:b w:val="0"/>
                <w:bCs w:val="0"/>
                <w:sz w:val="24"/>
                <w:szCs w:val="24"/>
                <w:highlight w:val="none"/>
                <w:lang w:val="en-US" w:eastAsia="zh-CN"/>
              </w:rPr>
              <w:t>，</w:t>
            </w:r>
            <w:r>
              <w:rPr>
                <w:rFonts w:hint="default" w:ascii="Times New Roman" w:hAnsi="Times New Roman" w:cs="Times New Roman"/>
                <w:b w:val="0"/>
                <w:bCs w:val="0"/>
                <w:sz w:val="24"/>
                <w:szCs w:val="24"/>
                <w:highlight w:val="none"/>
                <w:lang w:val="en-US" w:eastAsia="zh-CN"/>
              </w:rPr>
              <w:t>则废气总量计算如下：</w:t>
            </w:r>
          </w:p>
          <w:p w14:paraId="5AE3953B">
            <w:pPr>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lang w:val="en-US" w:eastAsia="zh-CN"/>
              </w:rPr>
            </w:pPr>
            <w:r>
              <w:rPr>
                <w:rFonts w:hint="default" w:ascii="Times New Roman" w:hAnsi="Times New Roman" w:cs="Times New Roman"/>
                <w:b w:val="0"/>
                <w:bCs w:val="0"/>
                <w:sz w:val="24"/>
                <w:szCs w:val="24"/>
                <w:highlight w:val="none"/>
                <w:lang w:val="en-US" w:eastAsia="zh-CN"/>
              </w:rPr>
              <w:t>非甲烷总烃总量=0.003</w:t>
            </w:r>
            <w:r>
              <w:rPr>
                <w:rFonts w:hint="eastAsia" w:ascii="Times New Roman" w:hAnsi="Times New Roman" w:cs="Times New Roman"/>
                <w:b w:val="0"/>
                <w:bCs w:val="0"/>
                <w:sz w:val="24"/>
                <w:szCs w:val="24"/>
                <w:highlight w:val="none"/>
                <w:lang w:val="en-US" w:eastAsia="zh-CN"/>
              </w:rPr>
              <w:t>71</w:t>
            </w:r>
            <w:r>
              <w:rPr>
                <w:rFonts w:hint="default" w:ascii="Times New Roman" w:hAnsi="Times New Roman" w:cs="Times New Roman"/>
                <w:b w:val="0"/>
                <w:bCs w:val="0"/>
                <w:sz w:val="24"/>
                <w:szCs w:val="24"/>
                <w:highlight w:val="none"/>
                <w:lang w:val="en-US" w:eastAsia="zh-CN"/>
              </w:rPr>
              <w:t>kg/h×</w:t>
            </w:r>
            <w:r>
              <w:rPr>
                <w:rFonts w:hint="eastAsia" w:ascii="Times New Roman" w:hAnsi="Times New Roman" w:cs="Times New Roman"/>
                <w:b w:val="0"/>
                <w:bCs w:val="0"/>
                <w:sz w:val="24"/>
                <w:szCs w:val="24"/>
                <w:highlight w:val="none"/>
                <w:lang w:val="en-US" w:eastAsia="zh-CN"/>
              </w:rPr>
              <w:t>1040</w:t>
            </w:r>
            <w:r>
              <w:rPr>
                <w:rFonts w:hint="default" w:ascii="Times New Roman" w:hAnsi="Times New Roman" w:cs="Times New Roman"/>
                <w:b w:val="0"/>
                <w:bCs w:val="0"/>
                <w:sz w:val="24"/>
                <w:szCs w:val="24"/>
                <w:highlight w:val="none"/>
                <w:lang w:val="en-US" w:eastAsia="zh-CN"/>
              </w:rPr>
              <w:t>h/1000=0.00</w:t>
            </w:r>
            <w:r>
              <w:rPr>
                <w:rFonts w:hint="eastAsia" w:ascii="Times New Roman" w:hAnsi="Times New Roman" w:cs="Times New Roman"/>
                <w:b w:val="0"/>
                <w:bCs w:val="0"/>
                <w:sz w:val="24"/>
                <w:szCs w:val="24"/>
                <w:highlight w:val="none"/>
                <w:lang w:val="en-US" w:eastAsia="zh-CN"/>
              </w:rPr>
              <w:t>38584</w:t>
            </w:r>
            <w:r>
              <w:rPr>
                <w:rFonts w:hint="default" w:ascii="Times New Roman" w:hAnsi="Times New Roman" w:cs="Times New Roman"/>
                <w:b w:val="0"/>
                <w:bCs w:val="0"/>
                <w:sz w:val="24"/>
                <w:szCs w:val="24"/>
                <w:highlight w:val="none"/>
                <w:lang w:val="en-US" w:eastAsia="zh-CN"/>
              </w:rPr>
              <w:t>t/a；</w:t>
            </w:r>
          </w:p>
          <w:p w14:paraId="3587CF08">
            <w:pPr>
              <w:pStyle w:val="4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leftChars="0" w:firstLine="480" w:firstLineChars="200"/>
              <w:jc w:val="both"/>
              <w:textAlignment w:val="auto"/>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pPr>
            <w:r>
              <w:rPr>
                <w:rFonts w:hint="eastAsia" w:ascii="Times New Roman" w:hAnsi="Times New Roman" w:cs="Times New Roman"/>
                <w:b w:val="0"/>
                <w:bCs w:val="0"/>
                <w:sz w:val="24"/>
                <w:szCs w:val="24"/>
                <w:highlight w:val="none"/>
                <w:lang w:val="en-US" w:eastAsia="zh-CN"/>
              </w:rPr>
              <w:t>本项目</w:t>
            </w:r>
            <w:r>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废水排放量为</w:t>
            </w:r>
            <w:r>
              <w:rPr>
                <w:rFonts w:hint="eastAsia" w:ascii="Times New Roman" w:hAnsi="Times New Roman" w:cs="Times New Roman"/>
                <w:b w:val="0"/>
                <w:bCs/>
                <w:color w:val="000000" w:themeColor="text1"/>
                <w:kern w:val="24"/>
                <w:sz w:val="24"/>
                <w:szCs w:val="24"/>
                <w:lang w:val="en-US" w:eastAsia="zh-CN" w:bidi="ar-SA"/>
                <w14:textFill>
                  <w14:solidFill>
                    <w14:schemeClr w14:val="tx1"/>
                  </w14:solidFill>
                </w14:textFill>
              </w:rPr>
              <w:t>789.9</w:t>
            </w: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m3，化学需氧量日均浓度最大值</w:t>
            </w:r>
            <w:r>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为</w:t>
            </w:r>
            <w:r>
              <w:rPr>
                <w:rFonts w:hint="eastAsia" w:ascii="Times New Roman" w:hAnsi="Times New Roman" w:cs="Times New Roman"/>
                <w:b w:val="0"/>
                <w:bCs/>
                <w:color w:val="000000" w:themeColor="text1"/>
                <w:kern w:val="24"/>
                <w:sz w:val="24"/>
                <w:szCs w:val="24"/>
                <w:lang w:val="en-US" w:eastAsia="zh-CN" w:bidi="ar-SA"/>
                <w14:textFill>
                  <w14:solidFill>
                    <w14:schemeClr w14:val="tx1"/>
                  </w14:solidFill>
                </w14:textFill>
              </w:rPr>
              <w:t>61.25</w:t>
            </w: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mg/L</w:t>
            </w:r>
            <w:r>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w:t>
            </w: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氨氮日均浓度最大值</w:t>
            </w:r>
            <w:r>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为</w:t>
            </w:r>
            <w:r>
              <w:rPr>
                <w:rFonts w:hint="eastAsia" w:ascii="Times New Roman" w:hAnsi="Times New Roman" w:cs="Times New Roman"/>
                <w:b w:val="0"/>
                <w:bCs/>
                <w:color w:val="000000" w:themeColor="text1"/>
                <w:kern w:val="24"/>
                <w:sz w:val="24"/>
                <w:szCs w:val="24"/>
                <w:lang w:val="en-US" w:eastAsia="zh-CN" w:bidi="ar-SA"/>
                <w14:textFill>
                  <w14:solidFill>
                    <w14:schemeClr w14:val="tx1"/>
                  </w14:solidFill>
                </w14:textFill>
              </w:rPr>
              <w:t>22.5</w:t>
            </w: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mg/L，</w:t>
            </w:r>
            <w:r>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则</w:t>
            </w: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化学需氧量、氨氮</w:t>
            </w:r>
            <w:r>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总量为：</w:t>
            </w:r>
          </w:p>
          <w:p w14:paraId="688356D7">
            <w:pPr>
              <w:pStyle w:val="42"/>
              <w:keepNext w:val="0"/>
              <w:keepLines w:val="0"/>
              <w:pageBreakBefore w:val="0"/>
              <w:widowControl w:val="0"/>
              <w:numPr>
                <w:ilvl w:val="0"/>
                <w:numId w:val="0"/>
              </w:numPr>
              <w:tabs>
                <w:tab w:val="center" w:pos="4520"/>
              </w:tabs>
              <w:kinsoku/>
              <w:wordWrap/>
              <w:overflowPunct/>
              <w:topLinePunct w:val="0"/>
              <w:autoSpaceDE w:val="0"/>
              <w:autoSpaceDN w:val="0"/>
              <w:bidi w:val="0"/>
              <w:adjustRightInd w:val="0"/>
              <w:snapToGrid w:val="0"/>
              <w:spacing w:line="360" w:lineRule="auto"/>
              <w:ind w:firstLine="480" w:firstLineChars="200"/>
              <w:jc w:val="both"/>
              <w:textAlignment w:val="auto"/>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pP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化学需氧量</w:t>
            </w:r>
            <w:r>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 xml:space="preserve">= </w:t>
            </w:r>
            <w:r>
              <w:rPr>
                <w:rFonts w:hint="eastAsia" w:ascii="Times New Roman" w:hAnsi="Times New Roman" w:cs="Times New Roman"/>
                <w:b w:val="0"/>
                <w:bCs/>
                <w:color w:val="000000" w:themeColor="text1"/>
                <w:kern w:val="24"/>
                <w:sz w:val="24"/>
                <w:szCs w:val="24"/>
                <w:lang w:val="en-US" w:eastAsia="zh-CN" w:bidi="ar-SA"/>
                <w14:textFill>
                  <w14:solidFill>
                    <w14:schemeClr w14:val="tx1"/>
                  </w14:solidFill>
                </w14:textFill>
              </w:rPr>
              <w:t>789.9</w:t>
            </w: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w:t>
            </w:r>
            <w:r>
              <w:rPr>
                <w:rFonts w:hint="default" w:ascii="Times New Roman" w:hAnsi="Times New Roman" w:eastAsia="宋体" w:cs="Times New Roman"/>
                <w:i w:val="0"/>
                <w:iCs w:val="0"/>
                <w:color w:val="000000"/>
                <w:kern w:val="0"/>
                <w:sz w:val="21"/>
                <w:szCs w:val="21"/>
                <w:u w:val="none"/>
                <w:lang w:val="en-US" w:eastAsia="zh-CN" w:bidi="ar"/>
              </w:rPr>
              <w:t>61.25</w:t>
            </w: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mg/L</w:t>
            </w:r>
            <w:r>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×10-</w:t>
            </w: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6</w:t>
            </w:r>
            <w:r>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w:t>
            </w:r>
            <w:r>
              <w:rPr>
                <w:rFonts w:hint="eastAsia" w:ascii="Times New Roman" w:hAnsi="Times New Roman" w:cs="Times New Roman"/>
                <w:b w:val="0"/>
                <w:bCs/>
                <w:color w:val="000000" w:themeColor="text1"/>
                <w:kern w:val="24"/>
                <w:sz w:val="24"/>
                <w:szCs w:val="24"/>
                <w:lang w:val="en-US" w:eastAsia="zh-CN" w:bidi="ar-SA"/>
                <w14:textFill>
                  <w14:solidFill>
                    <w14:schemeClr w14:val="tx1"/>
                  </w14:solidFill>
                </w14:textFill>
              </w:rPr>
              <w:t>0.048381375</w:t>
            </w:r>
            <w:r>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t/a</w:t>
            </w:r>
          </w:p>
          <w:p w14:paraId="71EE364C">
            <w:pPr>
              <w:pStyle w:val="42"/>
              <w:keepNext w:val="0"/>
              <w:keepLines w:val="0"/>
              <w:pageBreakBefore w:val="0"/>
              <w:widowControl w:val="0"/>
              <w:numPr>
                <w:ilvl w:val="0"/>
                <w:numId w:val="0"/>
              </w:numPr>
              <w:tabs>
                <w:tab w:val="center" w:pos="4520"/>
              </w:tabs>
              <w:kinsoku/>
              <w:wordWrap/>
              <w:overflowPunct/>
              <w:topLinePunct w:val="0"/>
              <w:autoSpaceDE w:val="0"/>
              <w:autoSpaceDN w:val="0"/>
              <w:bidi w:val="0"/>
              <w:adjustRightInd w:val="0"/>
              <w:snapToGrid w:val="0"/>
              <w:spacing w:line="360" w:lineRule="auto"/>
              <w:ind w:firstLine="480" w:firstLineChars="200"/>
              <w:jc w:val="both"/>
              <w:textAlignment w:val="auto"/>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pP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氨氮=</w:t>
            </w:r>
            <w:r>
              <w:rPr>
                <w:rFonts w:hint="eastAsia" w:ascii="Times New Roman" w:hAnsi="Times New Roman" w:cs="Times New Roman"/>
                <w:b w:val="0"/>
                <w:bCs/>
                <w:color w:val="000000" w:themeColor="text1"/>
                <w:kern w:val="24"/>
                <w:sz w:val="24"/>
                <w:szCs w:val="24"/>
                <w:lang w:val="en-US" w:eastAsia="zh-CN" w:bidi="ar-SA"/>
                <w14:textFill>
                  <w14:solidFill>
                    <w14:schemeClr w14:val="tx1"/>
                  </w14:solidFill>
                </w14:textFill>
              </w:rPr>
              <w:t>789.9</w:t>
            </w: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w:t>
            </w:r>
            <w:r>
              <w:rPr>
                <w:rFonts w:hint="eastAsia" w:ascii="Times New Roman" w:hAnsi="Times New Roman" w:cs="Times New Roman"/>
                <w:b w:val="0"/>
                <w:bCs/>
                <w:color w:val="000000" w:themeColor="text1"/>
                <w:kern w:val="24"/>
                <w:sz w:val="24"/>
                <w:szCs w:val="24"/>
                <w:lang w:val="en-US" w:eastAsia="zh-CN" w:bidi="ar-SA"/>
                <w14:textFill>
                  <w14:solidFill>
                    <w14:schemeClr w14:val="tx1"/>
                  </w14:solidFill>
                </w14:textFill>
              </w:rPr>
              <w:t>22.5</w:t>
            </w: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w:t>
            </w:r>
            <w:r>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10-</w:t>
            </w: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6=0.0</w:t>
            </w:r>
            <w:r>
              <w:rPr>
                <w:rFonts w:hint="eastAsia" w:ascii="Times New Roman" w:hAnsi="Times New Roman" w:cs="Times New Roman"/>
                <w:b w:val="0"/>
                <w:bCs/>
                <w:color w:val="000000" w:themeColor="text1"/>
                <w:kern w:val="24"/>
                <w:sz w:val="24"/>
                <w:szCs w:val="24"/>
                <w:lang w:val="en-US" w:eastAsia="zh-CN" w:bidi="ar-SA"/>
                <w14:textFill>
                  <w14:solidFill>
                    <w14:schemeClr w14:val="tx1"/>
                  </w14:solidFill>
                </w14:textFill>
              </w:rPr>
              <w:t>17777275</w:t>
            </w:r>
            <w:r>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t/a</w:t>
            </w:r>
          </w:p>
          <w:p w14:paraId="34D8F3E5">
            <w:pPr>
              <w:pStyle w:val="2"/>
              <w:keepLines w:val="0"/>
              <w:pageBreakBefore w:val="0"/>
              <w:widowControl w:val="0"/>
              <w:tabs>
                <w:tab w:val="left" w:pos="6620"/>
              </w:tabs>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snapToGrid w:val="0"/>
                <w:color w:val="000000" w:themeColor="text1"/>
                <w:kern w:val="24"/>
                <w:sz w:val="24"/>
                <w:szCs w:val="24"/>
                <w:lang w:val="en-US" w:eastAsia="zh-CN" w:bidi="ar-SA"/>
                <w14:textFill>
                  <w14:solidFill>
                    <w14:schemeClr w14:val="tx1"/>
                  </w14:solidFill>
                </w14:textFill>
              </w:rPr>
            </w:pPr>
            <w:r>
              <w:rPr>
                <w:rFonts w:hint="default" w:ascii="Times New Roman" w:hAnsi="Times New Roman" w:eastAsia="宋体" w:cs="Times New Roman"/>
                <w:color w:val="000000" w:themeColor="text1"/>
                <w:kern w:val="24"/>
                <w:sz w:val="24"/>
                <w:szCs w:val="24"/>
                <w:lang w:val="en-US" w:eastAsia="zh-CN" w:bidi="ar-SA"/>
                <w14:textFill>
                  <w14:solidFill>
                    <w14:schemeClr w14:val="tx1"/>
                  </w14:solidFill>
                </w14:textFill>
              </w:rPr>
              <w:t>综上，本项目废水排放总量为</w:t>
            </w:r>
            <w:r>
              <w:rPr>
                <w:rFonts w:hint="eastAsia" w:ascii="Times New Roman" w:hAnsi="Times New Roman" w:eastAsia="宋体" w:cs="Times New Roman"/>
                <w:color w:val="000000" w:themeColor="text1"/>
                <w:kern w:val="24"/>
                <w:sz w:val="24"/>
                <w:szCs w:val="24"/>
                <w:lang w:val="en-US" w:eastAsia="zh-CN" w:bidi="ar-SA"/>
                <w14:textFill>
                  <w14:solidFill>
                    <w14:schemeClr w14:val="tx1"/>
                  </w14:solidFill>
                </w14:textFill>
              </w:rPr>
              <w:t>化学需氧量</w:t>
            </w:r>
            <w:r>
              <w:rPr>
                <w:rFonts w:hint="eastAsia" w:ascii="Times New Roman" w:hAnsi="Times New Roman" w:cs="Times New Roman"/>
                <w:b w:val="0"/>
                <w:bCs/>
                <w:color w:val="000000" w:themeColor="text1"/>
                <w:kern w:val="24"/>
                <w:sz w:val="24"/>
                <w:szCs w:val="24"/>
                <w:lang w:val="en-US" w:eastAsia="zh-CN" w:bidi="ar-SA"/>
                <w14:textFill>
                  <w14:solidFill>
                    <w14:schemeClr w14:val="tx1"/>
                  </w14:solidFill>
                </w14:textFill>
              </w:rPr>
              <w:t>0.048381375</w:t>
            </w:r>
            <w:r>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t/a</w:t>
            </w:r>
            <w:r>
              <w:rPr>
                <w:rFonts w:hint="default" w:ascii="Times New Roman" w:hAnsi="Times New Roman" w:eastAsia="宋体" w:cs="Times New Roman"/>
                <w:color w:val="000000" w:themeColor="text1"/>
                <w:kern w:val="24"/>
                <w:sz w:val="24"/>
                <w:szCs w:val="24"/>
                <w:lang w:val="en-US" w:eastAsia="zh-CN" w:bidi="ar-SA"/>
                <w14:textFill>
                  <w14:solidFill>
                    <w14:schemeClr w14:val="tx1"/>
                  </w14:solidFill>
                </w14:textFill>
              </w:rPr>
              <w:t>、</w:t>
            </w:r>
            <w:r>
              <w:rPr>
                <w:rFonts w:hint="default" w:ascii="Times New Roman" w:hAnsi="Times New Roman" w:eastAsia="宋体" w:cs="Times New Roman"/>
                <w:color w:val="000000" w:themeColor="text1"/>
                <w:kern w:val="24"/>
                <w:sz w:val="24"/>
                <w:szCs w:val="24"/>
                <w:highlight w:val="none"/>
                <w:lang w:val="en-US" w:eastAsia="zh-CN" w:bidi="ar-SA"/>
                <w14:textFill>
                  <w14:solidFill>
                    <w14:schemeClr w14:val="tx1"/>
                  </w14:solidFill>
                </w14:textFill>
              </w:rPr>
              <w:t>氨氮</w:t>
            </w: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0.0</w:t>
            </w:r>
            <w:r>
              <w:rPr>
                <w:rFonts w:hint="eastAsia" w:ascii="Times New Roman" w:hAnsi="Times New Roman" w:cs="Times New Roman"/>
                <w:b w:val="0"/>
                <w:bCs/>
                <w:color w:val="000000" w:themeColor="text1"/>
                <w:kern w:val="24"/>
                <w:sz w:val="24"/>
                <w:szCs w:val="24"/>
                <w:lang w:val="en-US" w:eastAsia="zh-CN" w:bidi="ar-SA"/>
                <w14:textFill>
                  <w14:solidFill>
                    <w14:schemeClr w14:val="tx1"/>
                  </w14:solidFill>
                </w14:textFill>
              </w:rPr>
              <w:t>17777275</w:t>
            </w:r>
            <w:r>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t/a</w:t>
            </w:r>
            <w:r>
              <w:rPr>
                <w:rFonts w:hint="eastAsia" w:ascii="Times New Roman" w:hAnsi="Times New Roman" w:eastAsia="宋体" w:cs="Times New Roman"/>
                <w:color w:val="000000" w:themeColor="text1"/>
                <w:kern w:val="24"/>
                <w:sz w:val="24"/>
                <w:szCs w:val="24"/>
                <w:highlight w:val="none"/>
                <w:lang w:val="en-US" w:eastAsia="zh-CN" w:bidi="ar-SA"/>
                <w14:textFill>
                  <w14:solidFill>
                    <w14:schemeClr w14:val="tx1"/>
                  </w14:solidFill>
                </w14:textFill>
              </w:rPr>
              <w:t>。</w:t>
            </w:r>
          </w:p>
          <w:p w14:paraId="5BE365DB">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rPr>
                <w:rFonts w:hint="default" w:ascii="Times New Roman" w:hAnsi="Times New Roman" w:eastAsia="宋体" w:cs="Times New Roman"/>
                <w:color w:val="000000" w:themeColor="text1"/>
                <w:kern w:val="24"/>
                <w:sz w:val="24"/>
                <w:szCs w:val="24"/>
                <w:lang w:val="en-US" w:eastAsia="zh-CN" w:bidi="ar-SA"/>
                <w14:textFill>
                  <w14:solidFill>
                    <w14:schemeClr w14:val="tx1"/>
                  </w14:solidFill>
                </w14:textFill>
              </w:rPr>
            </w:pPr>
          </w:p>
          <w:p w14:paraId="3C40DE79">
            <w:pPr>
              <w:pStyle w:val="24"/>
              <w:rPr>
                <w:rFonts w:hint="default"/>
                <w:lang w:val="en-US" w:eastAsia="zh-CN"/>
              </w:rPr>
            </w:pPr>
          </w:p>
          <w:p w14:paraId="24DEA4E6">
            <w:pPr>
              <w:numPr>
                <w:ilvl w:val="0"/>
                <w:numId w:val="0"/>
              </w:numPr>
              <w:rPr>
                <w:rFonts w:hint="default" w:ascii="Times New Roman" w:hAnsi="Times New Roman" w:eastAsia="宋体" w:cs="Times New Roman"/>
                <w:color w:val="000000" w:themeColor="text1"/>
                <w:kern w:val="24"/>
                <w:sz w:val="24"/>
                <w:szCs w:val="24"/>
                <w:lang w:val="en-US" w:eastAsia="zh-CN" w:bidi="ar-SA"/>
                <w14:textFill>
                  <w14:solidFill>
                    <w14:schemeClr w14:val="tx1"/>
                  </w14:solidFill>
                </w14:textFill>
              </w:rPr>
            </w:pPr>
          </w:p>
          <w:p w14:paraId="1256AB44">
            <w:pPr>
              <w:adjustRightInd w:val="0"/>
              <w:snapToGrid w:val="0"/>
              <w:spacing w:before="120" w:beforeLines="50" w:line="360" w:lineRule="auto"/>
              <w:rPr>
                <w:rFonts w:hint="default" w:ascii="Times New Roman" w:hAnsi="Times New Roman" w:eastAsia="宋体" w:cs="Times New Roman"/>
                <w:color w:val="000000" w:themeColor="text1"/>
                <w:kern w:val="24"/>
                <w:sz w:val="24"/>
                <w:szCs w:val="24"/>
                <w:lang w:val="en-US" w:eastAsia="zh-CN" w:bidi="ar-SA"/>
                <w14:textFill>
                  <w14:solidFill>
                    <w14:schemeClr w14:val="tx1"/>
                  </w14:solidFill>
                </w14:textFill>
              </w:rPr>
            </w:pPr>
          </w:p>
          <w:p w14:paraId="5368821C">
            <w:pPr>
              <w:adjustRightInd w:val="0"/>
              <w:snapToGrid w:val="0"/>
              <w:spacing w:before="120" w:beforeLines="50" w:line="360" w:lineRule="auto"/>
              <w:rPr>
                <w:rFonts w:hint="default" w:ascii="Times New Roman" w:hAnsi="Times New Roman" w:eastAsia="宋体" w:cs="Times New Roman"/>
                <w:color w:val="000000" w:themeColor="text1"/>
                <w:kern w:val="24"/>
                <w:sz w:val="24"/>
                <w:szCs w:val="24"/>
                <w:lang w:val="en-US" w:eastAsia="zh-CN" w:bidi="ar-SA"/>
                <w14:textFill>
                  <w14:solidFill>
                    <w14:schemeClr w14:val="tx1"/>
                  </w14:solidFill>
                </w14:textFill>
              </w:rPr>
            </w:pPr>
          </w:p>
          <w:p w14:paraId="41390DB1">
            <w:pPr>
              <w:adjustRightInd w:val="0"/>
              <w:snapToGrid w:val="0"/>
              <w:spacing w:before="120" w:beforeLines="50" w:line="360" w:lineRule="auto"/>
              <w:rPr>
                <w:rFonts w:hint="default" w:ascii="Times New Roman" w:hAnsi="Times New Roman" w:eastAsia="宋体" w:cs="Times New Roman"/>
                <w:color w:val="000000" w:themeColor="text1"/>
                <w:kern w:val="24"/>
                <w:sz w:val="24"/>
                <w:szCs w:val="24"/>
                <w:lang w:val="en-US" w:eastAsia="zh-CN" w:bidi="ar-SA"/>
                <w14:textFill>
                  <w14:solidFill>
                    <w14:schemeClr w14:val="tx1"/>
                  </w14:solidFill>
                </w14:textFill>
              </w:rPr>
            </w:pPr>
          </w:p>
          <w:p w14:paraId="4CE84D41">
            <w:pPr>
              <w:adjustRightInd w:val="0"/>
              <w:snapToGrid w:val="0"/>
              <w:spacing w:before="120" w:beforeLines="50" w:line="360" w:lineRule="auto"/>
              <w:rPr>
                <w:rFonts w:hint="default" w:ascii="Times New Roman" w:hAnsi="Times New Roman" w:eastAsia="宋体" w:cs="Times New Roman"/>
                <w:b/>
                <w:bCs w:val="0"/>
                <w:sz w:val="28"/>
                <w:szCs w:val="28"/>
                <w:vertAlign w:val="baseline"/>
              </w:rPr>
            </w:pPr>
          </w:p>
          <w:p w14:paraId="48BCBCA5">
            <w:pPr>
              <w:adjustRightInd w:val="0"/>
              <w:snapToGrid w:val="0"/>
              <w:spacing w:before="120" w:beforeLines="50" w:line="360" w:lineRule="auto"/>
              <w:rPr>
                <w:rFonts w:hint="default" w:ascii="Times New Roman" w:hAnsi="Times New Roman" w:eastAsia="宋体" w:cs="Times New Roman"/>
                <w:b/>
                <w:bCs w:val="0"/>
                <w:sz w:val="28"/>
                <w:szCs w:val="28"/>
                <w:vertAlign w:val="baseline"/>
              </w:rPr>
            </w:pPr>
          </w:p>
          <w:p w14:paraId="18EDC7A5">
            <w:pPr>
              <w:adjustRightInd w:val="0"/>
              <w:snapToGrid w:val="0"/>
              <w:spacing w:before="120" w:beforeLines="50" w:line="360" w:lineRule="auto"/>
              <w:rPr>
                <w:rFonts w:hint="default" w:ascii="Times New Roman" w:hAnsi="Times New Roman" w:eastAsia="宋体" w:cs="Times New Roman"/>
                <w:b/>
                <w:bCs w:val="0"/>
                <w:sz w:val="28"/>
                <w:szCs w:val="28"/>
                <w:vertAlign w:val="baseline"/>
              </w:rPr>
            </w:pPr>
          </w:p>
          <w:p w14:paraId="18F18118">
            <w:pPr>
              <w:adjustRightInd w:val="0"/>
              <w:snapToGrid w:val="0"/>
              <w:spacing w:before="120" w:beforeLines="50" w:line="360" w:lineRule="auto"/>
              <w:rPr>
                <w:rFonts w:hint="default" w:ascii="Times New Roman" w:hAnsi="Times New Roman" w:eastAsia="宋体" w:cs="Times New Roman"/>
                <w:b/>
                <w:bCs w:val="0"/>
                <w:sz w:val="28"/>
                <w:szCs w:val="28"/>
                <w:vertAlign w:val="baseline"/>
              </w:rPr>
            </w:pPr>
          </w:p>
        </w:tc>
      </w:tr>
    </w:tbl>
    <w:p w14:paraId="4C4D745B">
      <w:pPr>
        <w:pStyle w:val="2"/>
        <w:rPr>
          <w:rFonts w:hint="default" w:ascii="Times New Roman" w:hAnsi="Times New Roman" w:eastAsia="宋体" w:cs="Times New Roman"/>
          <w:b/>
          <w:bCs w:val="0"/>
          <w:sz w:val="28"/>
          <w:szCs w:val="28"/>
        </w:rPr>
      </w:pPr>
      <w:r>
        <w:rPr>
          <w:rFonts w:hint="default" w:ascii="Times New Roman" w:hAnsi="Times New Roman" w:eastAsia="宋体" w:cs="Times New Roman"/>
          <w:b/>
          <w:bCs w:val="0"/>
          <w:sz w:val="28"/>
          <w:szCs w:val="28"/>
        </w:rPr>
        <w:t>表八</w:t>
      </w:r>
    </w:p>
    <w:tbl>
      <w:tblPr>
        <w:tblStyle w:val="29"/>
        <w:tblW w:w="5000" w:type="pct"/>
        <w:jc w:val="center"/>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autofit"/>
        <w:tblCellMar>
          <w:top w:w="0" w:type="dxa"/>
          <w:left w:w="108" w:type="dxa"/>
          <w:bottom w:w="0" w:type="dxa"/>
          <w:right w:w="108" w:type="dxa"/>
        </w:tblCellMar>
      </w:tblPr>
      <w:tblGrid>
        <w:gridCol w:w="9287"/>
      </w:tblGrid>
      <w:tr w14:paraId="6055515D">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PrEx>
        <w:trPr>
          <w:trHeight w:val="841" w:hRule="atLeast"/>
          <w:jc w:val="center"/>
        </w:trPr>
        <w:tc>
          <w:tcPr>
            <w:tcW w:w="5000" w:type="pct"/>
            <w:vAlign w:val="center"/>
          </w:tcPr>
          <w:p w14:paraId="06090FC2">
            <w:pPr>
              <w:adjustRightInd w:val="0"/>
              <w:snapToGrid w:val="0"/>
              <w:spacing w:before="120" w:beforeLines="50" w:line="360" w:lineRule="auto"/>
              <w:rPr>
                <w:rFonts w:hint="default" w:ascii="Times New Roman" w:hAnsi="Times New Roman" w:eastAsia="宋体" w:cs="Times New Roman"/>
                <w:b/>
                <w:sz w:val="28"/>
                <w:szCs w:val="28"/>
                <w:lang w:val="en-US" w:eastAsia="zh-CN"/>
              </w:rPr>
            </w:pPr>
            <w:bookmarkStart w:id="18" w:name="_Hlk79503244"/>
            <w:r>
              <w:rPr>
                <w:rFonts w:hint="default" w:ascii="Times New Roman" w:hAnsi="Times New Roman" w:eastAsia="宋体" w:cs="Times New Roman"/>
                <w:b/>
                <w:sz w:val="28"/>
                <w:szCs w:val="28"/>
                <w:lang w:val="en-US" w:eastAsia="zh-CN"/>
              </w:rPr>
              <w:t>验收监测结论：</w:t>
            </w:r>
          </w:p>
          <w:p w14:paraId="78117E9C">
            <w:pPr>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一、建设内容</w:t>
            </w:r>
          </w:p>
          <w:p w14:paraId="4B4B3C53">
            <w:pPr>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北京永泰生物制品有限公司租用北京经济技术开发区康定街 1 号 2 幢 3 层，建筑面积为 1148 平方米，拟经营免疫细胞制剂质检实验室项目，配备实验人员 50 人，全年营业260 天，每日营业时间为 8：00 至 17：00</w:t>
            </w:r>
            <w:r>
              <w:rPr>
                <w:rFonts w:hint="eastAsia" w:ascii="Times New Roman" w:hAnsi="Times New Roman" w:eastAsia="宋体" w:cs="Times New Roman"/>
                <w:color w:val="auto"/>
                <w:sz w:val="24"/>
                <w:szCs w:val="24"/>
                <w:lang w:val="en-US" w:eastAsia="zh-CN"/>
              </w:rPr>
              <w:t>（无夜班作业）</w:t>
            </w:r>
            <w:r>
              <w:rPr>
                <w:rFonts w:hint="default" w:ascii="Times New Roman" w:hAnsi="Times New Roman" w:eastAsia="宋体" w:cs="Times New Roman"/>
                <w:color w:val="auto"/>
                <w:sz w:val="24"/>
                <w:szCs w:val="24"/>
                <w:lang w:val="en-US" w:eastAsia="zh-CN"/>
              </w:rPr>
              <w:t>。</w:t>
            </w:r>
          </w:p>
          <w:p w14:paraId="3D6D135A">
            <w:pPr>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color w:val="auto"/>
                <w:sz w:val="24"/>
                <w:szCs w:val="24"/>
                <w:lang w:val="en-US" w:eastAsia="zh-CN"/>
              </w:rPr>
              <w:t>本项目为新建项目，项目总投资2000万元，其中环保投资为10万元，占总投资额的0.5%，主要用于生产污水处理、噪声治理、固体废物处置及废气治理等。项目不设员工宿舍和食堂，员工自行解决食宿问题。</w:t>
            </w:r>
          </w:p>
          <w:p w14:paraId="314A9A13">
            <w:pPr>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二、废气</w:t>
            </w:r>
          </w:p>
          <w:p w14:paraId="11D00C05">
            <w:pPr>
              <w:spacing w:line="360" w:lineRule="auto"/>
              <w:ind w:firstLine="480" w:firstLineChars="200"/>
              <w:rPr>
                <w:rFonts w:hint="eastAsia" w:ascii="Times New Roman" w:hAnsi="Times New Roman" w:cs="Times New Roman"/>
                <w:color w:val="auto"/>
                <w:spacing w:val="2"/>
                <w:sz w:val="24"/>
                <w:szCs w:val="24"/>
                <w:highlight w:val="none"/>
                <w:lang w:val="en-US" w:eastAsia="zh-CN"/>
              </w:rPr>
            </w:pPr>
            <w:r>
              <w:rPr>
                <w:rFonts w:hint="eastAsia" w:ascii="Times New Roman" w:hAnsi="Times New Roman" w:eastAsia="宋体" w:cs="Times New Roman"/>
                <w:color w:val="auto"/>
                <w:kern w:val="0"/>
                <w:sz w:val="24"/>
                <w:szCs w:val="24"/>
                <w:highlight w:val="none"/>
                <w:lang w:val="en-US" w:eastAsia="zh-CN" w:bidi="ar"/>
              </w:rPr>
              <w:t>本项目实验室</w:t>
            </w:r>
            <w:r>
              <w:rPr>
                <w:rFonts w:hint="eastAsia" w:ascii="Times New Roman" w:hAnsi="Times New Roman" w:cs="Times New Roman"/>
                <w:color w:val="auto"/>
                <w:spacing w:val="2"/>
                <w:sz w:val="24"/>
                <w:szCs w:val="24"/>
                <w:highlight w:val="none"/>
                <w:lang w:val="en-US" w:eastAsia="zh-CN"/>
              </w:rPr>
              <w:t>废气</w:t>
            </w:r>
            <w:r>
              <w:rPr>
                <w:spacing w:val="-11"/>
                <w:sz w:val="24"/>
              </w:rPr>
              <w:t>主要为实验检测过程挥发</w:t>
            </w:r>
            <w:r>
              <w:rPr>
                <w:spacing w:val="-1"/>
                <w:sz w:val="24"/>
              </w:rPr>
              <w:t>的有机废气和无机废气</w:t>
            </w:r>
            <w:r>
              <w:rPr>
                <w:rFonts w:hint="eastAsia" w:ascii="Times New Roman" w:hAnsi="Times New Roman" w:cs="Times New Roman"/>
                <w:color w:val="auto"/>
                <w:spacing w:val="2"/>
                <w:sz w:val="24"/>
                <w:szCs w:val="24"/>
                <w:highlight w:val="none"/>
                <w:lang w:val="en-US" w:eastAsia="zh-CN"/>
              </w:rPr>
              <w:t>。</w:t>
            </w:r>
            <w:r>
              <w:rPr>
                <w:rFonts w:hint="default" w:ascii="Times New Roman" w:hAnsi="Times New Roman" w:cs="Times New Roman"/>
                <w:color w:val="auto"/>
                <w:spacing w:val="2"/>
                <w:sz w:val="24"/>
                <w:szCs w:val="24"/>
                <w:highlight w:val="none"/>
                <w:lang w:val="en-US" w:eastAsia="zh-CN"/>
              </w:rPr>
              <w:t>主要污染物</w:t>
            </w:r>
            <w:r>
              <w:rPr>
                <w:rFonts w:hint="eastAsia" w:ascii="Times New Roman" w:hAnsi="Times New Roman" w:cs="Times New Roman"/>
                <w:color w:val="auto"/>
                <w:spacing w:val="2"/>
                <w:sz w:val="24"/>
                <w:szCs w:val="24"/>
                <w:highlight w:val="none"/>
                <w:lang w:val="en-US" w:eastAsia="zh-CN"/>
              </w:rPr>
              <w:t>为非甲烷总烃、氯化氢、甲醇。</w:t>
            </w:r>
          </w:p>
          <w:p w14:paraId="4342A1F7">
            <w:pPr>
              <w:spacing w:line="360" w:lineRule="auto"/>
              <w:ind w:firstLine="480" w:firstLineChars="200"/>
              <w:rPr>
                <w:rFonts w:hint="default" w:ascii="Times New Roman" w:hAnsi="Times New Roman" w:eastAsia="宋体" w:cs="Times New Roman"/>
                <w:sz w:val="24"/>
                <w:szCs w:val="24"/>
                <w:highlight w:val="none"/>
                <w:lang w:val="en-US" w:eastAsia="zh-CN"/>
              </w:rPr>
            </w:pPr>
            <w:r>
              <w:rPr>
                <w:rFonts w:hint="eastAsia" w:ascii="Times New Roman" w:hAnsi="Times New Roman" w:eastAsia="宋体" w:cs="Times New Roman"/>
                <w:color w:val="auto"/>
                <w:sz w:val="24"/>
                <w:szCs w:val="24"/>
                <w:lang w:val="en-US" w:eastAsia="zh-CN"/>
              </w:rPr>
              <w:t>根据验收监测结果表明</w:t>
            </w:r>
            <w:r>
              <w:rPr>
                <w:rFonts w:hint="eastAsia" w:ascii="Times New Roman" w:hAnsi="Times New Roman" w:eastAsia="宋体" w:cs="Times New Roman"/>
                <w:color w:val="auto"/>
                <w:sz w:val="24"/>
                <w:szCs w:val="24"/>
                <w:highlight w:val="none"/>
                <w:lang w:val="en-US" w:eastAsia="zh-CN"/>
              </w:rPr>
              <w:t>，本项目废气氯化氢</w:t>
            </w:r>
            <w:r>
              <w:rPr>
                <w:rFonts w:hint="default" w:ascii="Times New Roman" w:hAnsi="Times New Roman" w:eastAsia="宋体" w:cs="Times New Roman"/>
                <w:color w:val="auto"/>
                <w:sz w:val="24"/>
                <w:szCs w:val="24"/>
                <w:highlight w:val="none"/>
                <w:lang w:val="en-US" w:eastAsia="zh-CN"/>
              </w:rPr>
              <w:t>最大排放浓度</w:t>
            </w:r>
            <w:r>
              <w:rPr>
                <w:rFonts w:hint="eastAsia" w:ascii="Times New Roman" w:hAnsi="Times New Roman" w:eastAsia="宋体" w:cs="Times New Roman"/>
                <w:color w:val="auto"/>
                <w:sz w:val="24"/>
                <w:szCs w:val="24"/>
                <w:highlight w:val="none"/>
                <w:lang w:val="en-US" w:eastAsia="zh-CN"/>
              </w:rPr>
              <w:t>为</w:t>
            </w:r>
            <w:r>
              <w:rPr>
                <w:rFonts w:hint="eastAsia" w:ascii="Times New Roman" w:hAnsi="Times New Roman" w:eastAsia="宋体" w:cs="Times New Roman"/>
                <w:kern w:val="2"/>
                <w:sz w:val="24"/>
                <w:szCs w:val="24"/>
                <w:highlight w:val="none"/>
                <w:lang w:val="en-US" w:eastAsia="zh-CN" w:bidi="ar-SA"/>
              </w:rPr>
              <w:t>1.753</w:t>
            </w:r>
            <w:r>
              <w:rPr>
                <w:rFonts w:hint="default" w:ascii="Times New Roman" w:hAnsi="Times New Roman" w:eastAsia="宋体" w:cs="Times New Roman"/>
                <w:color w:val="auto"/>
                <w:sz w:val="24"/>
                <w:szCs w:val="24"/>
                <w:highlight w:val="none"/>
                <w:lang w:val="en-US" w:eastAsia="zh-CN"/>
              </w:rPr>
              <w:t>mg/m3、最大排放速率为</w:t>
            </w:r>
            <w:r>
              <w:rPr>
                <w:rFonts w:hint="eastAsia" w:ascii="Times New Roman" w:hAnsi="Times New Roman" w:eastAsia="宋体" w:cs="Times New Roman"/>
                <w:color w:val="auto"/>
                <w:sz w:val="24"/>
                <w:szCs w:val="24"/>
                <w:highlight w:val="none"/>
                <w:lang w:val="en-US" w:eastAsia="zh-CN"/>
              </w:rPr>
              <w:t>5.92</w:t>
            </w:r>
            <w:r>
              <w:rPr>
                <w:rFonts w:ascii="Times New Roman" w:hAnsi="Times New Roman" w:eastAsia="宋体" w:cs="Times New Roman"/>
                <w:color w:val="auto"/>
                <w:sz w:val="24"/>
                <w:szCs w:val="24"/>
                <w:highlight w:val="none"/>
              </w:rPr>
              <w:t>×10</w:t>
            </w:r>
            <w:r>
              <w:rPr>
                <w:rFonts w:hint="eastAsia" w:ascii="Times New Roman" w:hAnsi="Times New Roman" w:eastAsia="宋体" w:cs="Times New Roman"/>
                <w:color w:val="auto"/>
                <w:sz w:val="24"/>
                <w:szCs w:val="24"/>
                <w:highlight w:val="none"/>
                <w:vertAlign w:val="superscript"/>
                <w:lang w:val="en-US" w:eastAsia="zh-CN"/>
              </w:rPr>
              <w:t>-3</w:t>
            </w:r>
            <w:r>
              <w:rPr>
                <w:rFonts w:hint="default" w:ascii="Times New Roman" w:hAnsi="Times New Roman" w:eastAsia="宋体" w:cs="Times New Roman"/>
                <w:color w:val="auto"/>
                <w:sz w:val="24"/>
                <w:szCs w:val="24"/>
                <w:highlight w:val="none"/>
                <w:lang w:val="en-US" w:eastAsia="zh-CN"/>
              </w:rPr>
              <w:t>kg/h</w:t>
            </w:r>
            <w:r>
              <w:rPr>
                <w:rFonts w:hint="eastAsia" w:ascii="Times New Roman" w:hAnsi="Times New Roman" w:eastAsia="宋体" w:cs="Times New Roman"/>
                <w:color w:val="auto"/>
                <w:sz w:val="24"/>
                <w:szCs w:val="24"/>
                <w:highlight w:val="none"/>
                <w:lang w:val="en-US" w:eastAsia="zh-CN"/>
              </w:rPr>
              <w:t>，非甲烷总烃</w:t>
            </w:r>
            <w:r>
              <w:rPr>
                <w:rFonts w:hint="default" w:ascii="Times New Roman" w:hAnsi="Times New Roman" w:eastAsia="宋体" w:cs="Times New Roman"/>
                <w:color w:val="auto"/>
                <w:sz w:val="24"/>
                <w:szCs w:val="24"/>
                <w:highlight w:val="none"/>
                <w:lang w:val="en-US" w:eastAsia="zh-CN"/>
              </w:rPr>
              <w:t>最大排放浓度</w:t>
            </w:r>
            <w:r>
              <w:rPr>
                <w:rFonts w:hint="eastAsia" w:ascii="Times New Roman" w:hAnsi="Times New Roman" w:eastAsia="宋体" w:cs="Times New Roman"/>
                <w:color w:val="auto"/>
                <w:sz w:val="24"/>
                <w:szCs w:val="24"/>
                <w:highlight w:val="none"/>
                <w:lang w:val="en-US" w:eastAsia="zh-CN"/>
              </w:rPr>
              <w:t>为1.1</w:t>
            </w:r>
            <w:r>
              <w:rPr>
                <w:rFonts w:hint="default" w:ascii="Times New Roman" w:hAnsi="Times New Roman" w:eastAsia="宋体" w:cs="Times New Roman"/>
                <w:color w:val="auto"/>
                <w:sz w:val="24"/>
                <w:szCs w:val="24"/>
                <w:highlight w:val="none"/>
                <w:lang w:val="en-US" w:eastAsia="zh-CN"/>
              </w:rPr>
              <w:t>mg/m3、最大排放速率为</w:t>
            </w:r>
            <w:r>
              <w:rPr>
                <w:rFonts w:hint="eastAsia" w:ascii="Times New Roman" w:hAnsi="Times New Roman" w:eastAsia="宋体" w:cs="Times New Roman"/>
                <w:color w:val="auto"/>
                <w:sz w:val="24"/>
                <w:szCs w:val="24"/>
                <w:highlight w:val="none"/>
                <w:lang w:val="en-US" w:eastAsia="zh-CN"/>
              </w:rPr>
              <w:t>3.71</w:t>
            </w:r>
            <w:r>
              <w:rPr>
                <w:rFonts w:ascii="Times New Roman" w:hAnsi="Times New Roman" w:eastAsia="宋体" w:cs="Times New Roman"/>
                <w:color w:val="auto"/>
                <w:sz w:val="24"/>
                <w:szCs w:val="24"/>
                <w:highlight w:val="none"/>
              </w:rPr>
              <w:t>×10</w:t>
            </w:r>
            <w:r>
              <w:rPr>
                <w:rFonts w:hint="eastAsia" w:ascii="Times New Roman" w:hAnsi="Times New Roman" w:eastAsia="宋体" w:cs="Times New Roman"/>
                <w:color w:val="auto"/>
                <w:sz w:val="24"/>
                <w:szCs w:val="24"/>
                <w:highlight w:val="none"/>
                <w:vertAlign w:val="superscript"/>
                <w:lang w:val="en-US" w:eastAsia="zh-CN"/>
              </w:rPr>
              <w:t>-3</w:t>
            </w:r>
            <w:r>
              <w:rPr>
                <w:rFonts w:hint="default" w:ascii="Times New Roman" w:hAnsi="Times New Roman" w:eastAsia="宋体" w:cs="Times New Roman"/>
                <w:color w:val="auto"/>
                <w:sz w:val="24"/>
                <w:szCs w:val="24"/>
                <w:highlight w:val="none"/>
                <w:lang w:val="en-US" w:eastAsia="zh-CN"/>
              </w:rPr>
              <w:t>kg/h，</w:t>
            </w:r>
            <w:r>
              <w:rPr>
                <w:rFonts w:hint="eastAsia" w:ascii="Times New Roman" w:hAnsi="Times New Roman" w:eastAsia="宋体" w:cs="Times New Roman"/>
                <w:color w:val="auto"/>
                <w:sz w:val="24"/>
                <w:szCs w:val="24"/>
                <w:highlight w:val="none"/>
                <w:lang w:val="en-US" w:eastAsia="zh-CN"/>
              </w:rPr>
              <w:t>甲醇</w:t>
            </w:r>
            <w:r>
              <w:rPr>
                <w:rFonts w:hint="default" w:ascii="Times New Roman" w:hAnsi="Times New Roman" w:eastAsia="宋体" w:cs="Times New Roman"/>
                <w:color w:val="auto"/>
                <w:sz w:val="24"/>
                <w:szCs w:val="24"/>
                <w:highlight w:val="none"/>
                <w:lang w:val="en-US" w:eastAsia="zh-CN"/>
              </w:rPr>
              <w:t>最大排放浓度</w:t>
            </w:r>
            <w:r>
              <w:rPr>
                <w:rFonts w:hint="eastAsia" w:ascii="Times New Roman" w:hAnsi="Times New Roman" w:eastAsia="宋体" w:cs="Times New Roman"/>
                <w:color w:val="auto"/>
                <w:sz w:val="24"/>
                <w:szCs w:val="24"/>
                <w:highlight w:val="none"/>
                <w:lang w:val="en-US" w:eastAsia="zh-CN"/>
              </w:rPr>
              <w:t>为7.067</w:t>
            </w:r>
            <w:r>
              <w:rPr>
                <w:rFonts w:hint="default" w:ascii="Times New Roman" w:hAnsi="Times New Roman" w:eastAsia="宋体" w:cs="Times New Roman"/>
                <w:color w:val="auto"/>
                <w:sz w:val="24"/>
                <w:szCs w:val="24"/>
                <w:highlight w:val="none"/>
                <w:lang w:val="en-US" w:eastAsia="zh-CN"/>
              </w:rPr>
              <w:t>mg/m3</w:t>
            </w:r>
            <w:r>
              <w:rPr>
                <w:rFonts w:hint="eastAsia" w:ascii="Times New Roman" w:hAnsi="Times New Roman" w:eastAsia="宋体"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最大排放速率</w:t>
            </w:r>
            <w:r>
              <w:rPr>
                <w:rFonts w:hint="eastAsia" w:ascii="Times New Roman" w:hAnsi="Times New Roman" w:eastAsia="宋体" w:cs="Times New Roman"/>
                <w:color w:val="auto"/>
                <w:sz w:val="24"/>
                <w:szCs w:val="24"/>
                <w:highlight w:val="none"/>
                <w:lang w:val="en-US" w:eastAsia="zh-CN"/>
              </w:rPr>
              <w:t>为2.04</w:t>
            </w:r>
            <w:r>
              <w:rPr>
                <w:rFonts w:ascii="Times New Roman" w:hAnsi="Times New Roman" w:eastAsia="宋体" w:cs="Times New Roman"/>
                <w:color w:val="auto"/>
                <w:sz w:val="24"/>
                <w:szCs w:val="24"/>
                <w:highlight w:val="none"/>
              </w:rPr>
              <w:t>×10</w:t>
            </w:r>
            <w:r>
              <w:rPr>
                <w:rFonts w:hint="eastAsia" w:ascii="Times New Roman" w:hAnsi="Times New Roman" w:eastAsia="宋体" w:cs="Times New Roman"/>
                <w:color w:val="auto"/>
                <w:sz w:val="24"/>
                <w:szCs w:val="24"/>
                <w:highlight w:val="none"/>
                <w:vertAlign w:val="superscript"/>
                <w:lang w:val="en-US" w:eastAsia="zh-CN"/>
              </w:rPr>
              <w:t>-2</w:t>
            </w:r>
            <w:r>
              <w:rPr>
                <w:rFonts w:hint="default" w:ascii="Times New Roman" w:hAnsi="Times New Roman" w:eastAsia="宋体" w:cs="Times New Roman"/>
                <w:color w:val="auto"/>
                <w:sz w:val="24"/>
                <w:szCs w:val="24"/>
                <w:highlight w:val="none"/>
                <w:lang w:val="en-US" w:eastAsia="zh-CN"/>
              </w:rPr>
              <w:t>kg/h</w:t>
            </w:r>
            <w:r>
              <w:rPr>
                <w:rFonts w:hint="eastAsia" w:ascii="Times New Roman" w:hAnsi="Times New Roman" w:eastAsia="宋体" w:cs="Times New Roman"/>
                <w:color w:val="auto"/>
                <w:sz w:val="24"/>
                <w:szCs w:val="24"/>
                <w:highlight w:val="none"/>
                <w:lang w:val="en-US" w:eastAsia="zh-CN"/>
              </w:rPr>
              <w:t>，</w:t>
            </w:r>
            <w:r>
              <w:rPr>
                <w:rFonts w:hint="default" w:ascii="Times New Roman" w:hAnsi="Times New Roman" w:eastAsia="宋体" w:cs="Times New Roman"/>
                <w:color w:val="auto"/>
                <w:kern w:val="0"/>
                <w:sz w:val="24"/>
                <w:szCs w:val="24"/>
                <w:highlight w:val="none"/>
                <w:lang w:val="zh-TW" w:eastAsia="zh-CN" w:bidi="ar"/>
              </w:rPr>
              <w:t>本项目</w:t>
            </w:r>
            <w:r>
              <w:rPr>
                <w:rFonts w:hint="eastAsia" w:ascii="Times New Roman" w:hAnsi="Times New Roman" w:eastAsia="宋体" w:cs="Times New Roman"/>
                <w:color w:val="auto"/>
                <w:kern w:val="0"/>
                <w:sz w:val="24"/>
                <w:szCs w:val="24"/>
                <w:highlight w:val="none"/>
                <w:lang w:val="en-US" w:eastAsia="zh-CN" w:bidi="ar"/>
              </w:rPr>
              <w:t>有组织废气排放浓度满足《大气污染物综合排放标准》(DB11/501-2017)</w:t>
            </w:r>
            <w:r>
              <w:rPr>
                <w:rFonts w:hint="eastAsia" w:ascii="Times New Roman" w:hAnsi="Times New Roman" w:eastAsia="宋体" w:cs="Times New Roman"/>
                <w:sz w:val="24"/>
                <w:szCs w:val="24"/>
                <w:highlight w:val="none"/>
                <w:lang w:val="en-US" w:eastAsia="zh-CN"/>
              </w:rPr>
              <w:t>表3有关污染物排放浓度要求。因排气筒高度为15m，未高出周边200m 半径范围内的建筑5m 以上，则污染物排放速率按其排放速率限值的50%执行。有组织废气均达标排放。</w:t>
            </w:r>
          </w:p>
          <w:p w14:paraId="5AE7BC7B">
            <w:pPr>
              <w:spacing w:line="360" w:lineRule="auto"/>
              <w:ind w:firstLine="480" w:firstLineChars="200"/>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highlight w:val="none"/>
                <w:lang w:val="en-US" w:eastAsia="zh-CN"/>
              </w:rPr>
              <w:t>厂界</w:t>
            </w:r>
            <w:r>
              <w:rPr>
                <w:rFonts w:hint="eastAsia" w:ascii="Times New Roman" w:hAnsi="Times New Roman" w:eastAsia="宋体" w:cs="Times New Roman"/>
                <w:color w:val="auto"/>
                <w:kern w:val="0"/>
                <w:sz w:val="24"/>
                <w:szCs w:val="24"/>
                <w:highlight w:val="none"/>
                <w:lang w:val="en-US" w:eastAsia="zh-CN" w:bidi="ar"/>
              </w:rPr>
              <w:t>无组织</w:t>
            </w:r>
            <w:r>
              <w:rPr>
                <w:rFonts w:hint="eastAsia" w:ascii="Times New Roman" w:hAnsi="Times New Roman" w:eastAsia="宋体" w:cs="Times New Roman"/>
                <w:color w:val="auto"/>
                <w:sz w:val="24"/>
                <w:szCs w:val="24"/>
                <w:highlight w:val="none"/>
                <w:lang w:val="en-US" w:eastAsia="zh-CN"/>
              </w:rPr>
              <w:t>氯化氢</w:t>
            </w:r>
            <w:r>
              <w:rPr>
                <w:rFonts w:hint="eastAsia" w:ascii="Times New Roman" w:hAnsi="Times New Roman" w:eastAsia="宋体" w:cs="Times New Roman"/>
                <w:color w:val="auto"/>
                <w:kern w:val="0"/>
                <w:sz w:val="24"/>
                <w:szCs w:val="24"/>
                <w:highlight w:val="none"/>
                <w:lang w:val="en-US" w:eastAsia="zh-CN" w:bidi="ar"/>
              </w:rPr>
              <w:t>最大排放浓度为＜0.05</w:t>
            </w:r>
            <w:r>
              <w:rPr>
                <w:rFonts w:hint="default" w:ascii="Times New Roman" w:hAnsi="Times New Roman" w:eastAsia="宋体" w:cs="Times New Roman"/>
                <w:color w:val="auto"/>
                <w:sz w:val="24"/>
                <w:szCs w:val="24"/>
                <w:highlight w:val="none"/>
                <w:lang w:val="en-US" w:eastAsia="zh-CN"/>
              </w:rPr>
              <w:t>mg/m3</w:t>
            </w:r>
            <w:r>
              <w:rPr>
                <w:rFonts w:hint="eastAsia" w:ascii="Times New Roman" w:hAnsi="Times New Roman" w:eastAsia="宋体" w:cs="Times New Roman"/>
                <w:color w:val="auto"/>
                <w:kern w:val="0"/>
                <w:sz w:val="24"/>
                <w:szCs w:val="24"/>
                <w:highlight w:val="none"/>
                <w:lang w:val="en-US" w:eastAsia="zh-CN" w:bidi="ar"/>
              </w:rPr>
              <w:t>、</w:t>
            </w:r>
            <w:r>
              <w:rPr>
                <w:rFonts w:hint="eastAsia" w:ascii="Times New Roman" w:hAnsi="Times New Roman" w:eastAsia="宋体" w:cs="Times New Roman"/>
                <w:color w:val="auto"/>
                <w:sz w:val="24"/>
                <w:szCs w:val="24"/>
                <w:highlight w:val="none"/>
                <w:lang w:val="en-US" w:eastAsia="zh-CN"/>
              </w:rPr>
              <w:t>非甲烷总烃</w:t>
            </w:r>
            <w:r>
              <w:rPr>
                <w:rFonts w:hint="eastAsia" w:ascii="Times New Roman" w:hAnsi="Times New Roman" w:eastAsia="宋体" w:cs="Times New Roman"/>
                <w:color w:val="auto"/>
                <w:kern w:val="0"/>
                <w:sz w:val="24"/>
                <w:szCs w:val="24"/>
                <w:highlight w:val="none"/>
                <w:lang w:val="en-US" w:eastAsia="zh-CN" w:bidi="ar"/>
              </w:rPr>
              <w:t>最大排放浓度为0.58、</w:t>
            </w:r>
            <w:r>
              <w:rPr>
                <w:rFonts w:hint="eastAsia" w:ascii="Times New Roman" w:hAnsi="Times New Roman" w:eastAsia="宋体" w:cs="Times New Roman"/>
                <w:color w:val="auto"/>
                <w:sz w:val="24"/>
                <w:szCs w:val="24"/>
                <w:highlight w:val="none"/>
                <w:lang w:val="en-US" w:eastAsia="zh-CN"/>
              </w:rPr>
              <w:t>甲醇</w:t>
            </w:r>
            <w:r>
              <w:rPr>
                <w:rFonts w:hint="eastAsia" w:ascii="Times New Roman" w:hAnsi="Times New Roman" w:eastAsia="宋体" w:cs="Times New Roman"/>
                <w:color w:val="auto"/>
                <w:kern w:val="0"/>
                <w:sz w:val="24"/>
                <w:szCs w:val="24"/>
                <w:highlight w:val="none"/>
                <w:lang w:val="en-US" w:eastAsia="zh-CN" w:bidi="ar"/>
              </w:rPr>
              <w:t>最大排放浓度为</w:t>
            </w:r>
            <w:r>
              <w:rPr>
                <w:rFonts w:hint="eastAsia" w:ascii="Times New Roman" w:hAnsi="Times New Roman" w:eastAsia="宋体" w:cs="Times New Roman"/>
                <w:color w:val="000000"/>
                <w:kern w:val="0"/>
                <w:sz w:val="24"/>
                <w:szCs w:val="24"/>
                <w:highlight w:val="none"/>
              </w:rPr>
              <w:t>＜</w:t>
            </w:r>
            <w:r>
              <w:rPr>
                <w:rFonts w:hint="eastAsia" w:ascii="Times New Roman" w:hAnsi="Times New Roman" w:eastAsia="宋体" w:cs="Times New Roman"/>
                <w:color w:val="000000"/>
                <w:kern w:val="0"/>
                <w:sz w:val="24"/>
                <w:szCs w:val="24"/>
                <w:highlight w:val="none"/>
                <w:lang w:val="en-US" w:eastAsia="zh-CN"/>
              </w:rPr>
              <w:t>0.4</w:t>
            </w:r>
            <w:r>
              <w:rPr>
                <w:rFonts w:hint="default" w:ascii="Times New Roman" w:hAnsi="Times New Roman" w:eastAsia="宋体" w:cs="Times New Roman"/>
                <w:color w:val="auto"/>
                <w:sz w:val="24"/>
                <w:szCs w:val="24"/>
                <w:highlight w:val="none"/>
                <w:lang w:val="en-US" w:eastAsia="zh-CN"/>
              </w:rPr>
              <w:t>mg/m3</w:t>
            </w:r>
            <w:r>
              <w:rPr>
                <w:rFonts w:hint="eastAsia" w:ascii="Times New Roman" w:hAnsi="Times New Roman" w:eastAsia="宋体" w:cs="Times New Roman"/>
                <w:color w:val="000000"/>
                <w:kern w:val="0"/>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综上所述，厂界无组织废气</w:t>
            </w:r>
            <w:r>
              <w:rPr>
                <w:rFonts w:hint="eastAsia" w:ascii="Times New Roman" w:hAnsi="Times New Roman" w:eastAsia="宋体" w:cs="Times New Roman"/>
                <w:color w:val="auto"/>
                <w:kern w:val="0"/>
                <w:sz w:val="24"/>
                <w:szCs w:val="24"/>
                <w:highlight w:val="none"/>
                <w:lang w:val="en-US" w:eastAsia="zh-CN" w:bidi="ar"/>
              </w:rPr>
              <w:t>满足北京市地方标准《大气污染物综合排放标准》（DB11/501-2017）“表3</w:t>
            </w:r>
            <w:r>
              <w:rPr>
                <w:rFonts w:hint="default" w:ascii="Times New Roman" w:hAnsi="Times New Roman" w:eastAsia="宋体" w:cs="Times New Roman"/>
                <w:color w:val="auto"/>
                <w:kern w:val="0"/>
                <w:sz w:val="24"/>
                <w:szCs w:val="24"/>
                <w:highlight w:val="none"/>
                <w:lang w:val="en-US" w:eastAsia="zh-CN" w:bidi="ar"/>
              </w:rPr>
              <w:t xml:space="preserve"> </w:t>
            </w:r>
            <w:r>
              <w:rPr>
                <w:rFonts w:hint="eastAsia" w:ascii="Times New Roman" w:hAnsi="Times New Roman" w:eastAsia="宋体" w:cs="Times New Roman"/>
                <w:sz w:val="24"/>
                <w:szCs w:val="24"/>
                <w:lang w:val="en-US" w:eastAsia="zh-CN"/>
              </w:rPr>
              <w:t>要求。无组织废气达标排放。</w:t>
            </w:r>
          </w:p>
          <w:p w14:paraId="60DC0BB3">
            <w:p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color w:val="auto"/>
                <w:sz w:val="24"/>
                <w:szCs w:val="24"/>
                <w:lang w:val="en-US" w:eastAsia="zh-CN"/>
              </w:rPr>
              <w:t>三、废水</w:t>
            </w:r>
            <w:bookmarkStart w:id="19" w:name="_Toc504467802"/>
          </w:p>
          <w:p w14:paraId="4D7A8BDD">
            <w:pPr>
              <w:keepNext w:val="0"/>
              <w:keepLines w:val="0"/>
              <w:widowControl/>
              <w:suppressLineNumbers w:val="0"/>
              <w:spacing w:line="360" w:lineRule="auto"/>
              <w:ind w:firstLine="488" w:firstLineChars="200"/>
              <w:jc w:val="left"/>
              <w:rPr>
                <w:rFonts w:hint="eastAsia" w:ascii="Times New Roman" w:hAnsi="Times New Roman" w:eastAsia="宋体" w:cs="Times New Roman"/>
                <w:color w:val="auto"/>
                <w:sz w:val="24"/>
                <w:szCs w:val="24"/>
                <w:lang w:val="en-US" w:eastAsia="zh-CN"/>
              </w:rPr>
            </w:pPr>
            <w:r>
              <w:rPr>
                <w:rFonts w:hint="default" w:ascii="Times New Roman" w:hAnsi="Times New Roman" w:cs="Times New Roman"/>
                <w:color w:val="auto"/>
                <w:spacing w:val="2"/>
                <w:sz w:val="24"/>
                <w:szCs w:val="24"/>
                <w:highlight w:val="none"/>
                <w:lang w:val="en-US" w:eastAsia="zh-CN"/>
              </w:rPr>
              <w:t>本项</w:t>
            </w:r>
            <w:r>
              <w:rPr>
                <w:rFonts w:hint="eastAsia" w:ascii="Times New Roman" w:hAnsi="Times New Roman" w:cs="Times New Roman"/>
                <w:sz w:val="24"/>
                <w:szCs w:val="24"/>
                <w:lang w:val="en-US" w:eastAsia="zh-CN"/>
              </w:rPr>
              <w:t>废水</w:t>
            </w:r>
            <w:r>
              <w:rPr>
                <w:rFonts w:hint="eastAsia" w:ascii="Times New Roman" w:hAnsi="Times New Roman" w:eastAsia="宋体" w:cs="Times New Roman"/>
                <w:color w:val="auto"/>
                <w:sz w:val="24"/>
                <w:szCs w:val="24"/>
                <w:lang w:val="en-US" w:eastAsia="zh-CN"/>
              </w:rPr>
              <w:t>主要为</w:t>
            </w:r>
            <w:r>
              <w:rPr>
                <w:rFonts w:hint="eastAsia" w:ascii="Times New Roman" w:hAnsi="Times New Roman" w:eastAsia="宋体" w:cs="Times New Roman"/>
                <w:b w:val="0"/>
                <w:bCs w:val="0"/>
                <w:kern w:val="2"/>
                <w:sz w:val="24"/>
                <w:szCs w:val="24"/>
                <w:lang w:val="en-US" w:eastAsia="zh-CN" w:bidi="ar-SA"/>
              </w:rPr>
              <w:t>生活污水，生产废水（实验室地面、操作台等清洗废水、员工洁净服清洗废水、制纯废水），生活污水主要是员工日常用水；检测废水作为危废处置，不外排，实验室地面、操作台等清洗废水、员工洁净服清洗废水和制纯废水通过污水处理站进行处理，处理后和生活污水一同排入开发区东区污水处理厂。</w:t>
            </w:r>
          </w:p>
          <w:p w14:paraId="7CD0C664">
            <w:pPr>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根据验收检测结果表明：废水（DW001）</w:t>
            </w:r>
            <w:r>
              <w:rPr>
                <w:rFonts w:hint="default" w:ascii="Times New Roman" w:hAnsi="Times New Roman" w:eastAsia="宋体" w:cs="Times New Roman"/>
                <w:color w:val="auto"/>
                <w:sz w:val="24"/>
                <w:szCs w:val="24"/>
                <w:highlight w:val="none"/>
                <w:lang w:val="en-US" w:eastAsia="zh-CN"/>
              </w:rPr>
              <w:t>五日生化需氧量</w:t>
            </w:r>
            <w:r>
              <w:rPr>
                <w:rFonts w:hint="eastAsia" w:ascii="Times New Roman" w:hAnsi="Times New Roman" w:eastAsia="宋体" w:cs="Times New Roman"/>
                <w:color w:val="auto"/>
                <w:sz w:val="24"/>
                <w:szCs w:val="24"/>
                <w:highlight w:val="none"/>
                <w:lang w:val="en-US" w:eastAsia="zh-CN"/>
              </w:rPr>
              <w:t>日均浓度最大值为15.15mg/L，全盐量日均浓度最大值为655.25mg/L，</w:t>
            </w:r>
            <w:r>
              <w:rPr>
                <w:rFonts w:hint="default" w:ascii="Times New Roman" w:hAnsi="Times New Roman" w:eastAsia="宋体" w:cs="Times New Roman"/>
                <w:color w:val="auto"/>
                <w:sz w:val="24"/>
                <w:szCs w:val="24"/>
                <w:highlight w:val="none"/>
                <w:lang w:val="en-US" w:eastAsia="zh-CN"/>
              </w:rPr>
              <w:t>化学需氧量</w:t>
            </w:r>
            <w:r>
              <w:rPr>
                <w:rFonts w:hint="eastAsia" w:ascii="Times New Roman" w:hAnsi="Times New Roman" w:eastAsia="宋体" w:cs="Times New Roman"/>
                <w:color w:val="auto"/>
                <w:sz w:val="24"/>
                <w:szCs w:val="24"/>
                <w:highlight w:val="none"/>
                <w:lang w:val="en-US" w:eastAsia="zh-CN"/>
              </w:rPr>
              <w:t>日均浓度最大值为61.25mg/L，</w:t>
            </w:r>
            <w:r>
              <w:rPr>
                <w:rFonts w:hint="default" w:ascii="Times New Roman" w:hAnsi="Times New Roman" w:eastAsia="宋体" w:cs="Times New Roman"/>
                <w:color w:val="auto"/>
                <w:sz w:val="24"/>
                <w:szCs w:val="24"/>
                <w:highlight w:val="none"/>
                <w:lang w:val="en-US" w:eastAsia="zh-CN"/>
              </w:rPr>
              <w:t>悬浮物</w:t>
            </w:r>
            <w:r>
              <w:rPr>
                <w:rFonts w:hint="eastAsia" w:ascii="Times New Roman" w:hAnsi="Times New Roman" w:eastAsia="宋体" w:cs="Times New Roman"/>
                <w:color w:val="auto"/>
                <w:sz w:val="24"/>
                <w:szCs w:val="24"/>
                <w:highlight w:val="none"/>
                <w:lang w:val="en-US" w:eastAsia="zh-CN"/>
              </w:rPr>
              <w:t>日均浓度最大值为32mg/L，</w:t>
            </w:r>
            <w:r>
              <w:rPr>
                <w:rFonts w:hint="default" w:ascii="Times New Roman" w:hAnsi="Times New Roman" w:eastAsia="宋体" w:cs="Times New Roman"/>
                <w:color w:val="auto"/>
                <w:sz w:val="24"/>
                <w:szCs w:val="24"/>
                <w:highlight w:val="none"/>
                <w:lang w:val="en-US" w:eastAsia="zh-CN"/>
              </w:rPr>
              <w:t>氨氮</w:t>
            </w:r>
            <w:r>
              <w:rPr>
                <w:rFonts w:hint="eastAsia" w:ascii="Times New Roman" w:hAnsi="Times New Roman" w:eastAsia="宋体" w:cs="Times New Roman"/>
                <w:color w:val="auto"/>
                <w:sz w:val="24"/>
                <w:szCs w:val="24"/>
                <w:highlight w:val="none"/>
                <w:lang w:val="en-US" w:eastAsia="zh-CN"/>
              </w:rPr>
              <w:t>日均浓度最大值为22.5mg/L，总上所述，废水排放浓度均符合</w:t>
            </w:r>
            <w:r>
              <w:rPr>
                <w:rFonts w:hint="default" w:ascii="Times New Roman" w:hAnsi="Times New Roman" w:eastAsia="宋体" w:cs="Times New Roman"/>
                <w:color w:val="auto"/>
                <w:sz w:val="24"/>
                <w:szCs w:val="24"/>
                <w:highlight w:val="none"/>
                <w:lang w:val="en-US" w:eastAsia="zh-CN"/>
              </w:rPr>
              <w:t>北京市《水污染物综合排放标准》（DB11/307-2013）中表3排入公共污水处理系统的水污染物排放限值</w:t>
            </w:r>
            <w:r>
              <w:rPr>
                <w:rFonts w:hint="eastAsia" w:ascii="Times New Roman" w:hAnsi="Times New Roman" w:eastAsia="宋体" w:cs="Times New Roman"/>
                <w:color w:val="auto"/>
                <w:sz w:val="24"/>
                <w:szCs w:val="24"/>
                <w:highlight w:val="none"/>
                <w:lang w:val="en-US" w:eastAsia="zh-CN"/>
              </w:rPr>
              <w:t>要求。</w:t>
            </w:r>
          </w:p>
          <w:p w14:paraId="4FF94931">
            <w:pPr>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四、噪声</w:t>
            </w:r>
            <w:bookmarkEnd w:id="19"/>
          </w:p>
          <w:p w14:paraId="0D11A4A6">
            <w:pPr>
              <w:spacing w:line="360" w:lineRule="auto"/>
              <w:ind w:firstLine="480" w:firstLineChars="200"/>
              <w:rPr>
                <w:rFonts w:hint="default" w:ascii="Times New Roman" w:hAnsi="Times New Roman" w:eastAsia="宋体" w:cs="Times New Roman"/>
                <w:color w:val="auto"/>
                <w:sz w:val="24"/>
                <w:szCs w:val="24"/>
                <w:highlight w:val="none"/>
                <w:lang w:val="en-US" w:eastAsia="zh-CN"/>
              </w:rPr>
            </w:pPr>
            <w:bookmarkStart w:id="20" w:name="_Toc504467804"/>
            <w:r>
              <w:rPr>
                <w:rFonts w:hint="eastAsia" w:ascii="Times New Roman" w:hAnsi="Times New Roman" w:eastAsia="宋体" w:cs="Times New Roman"/>
                <w:color w:val="auto"/>
                <w:sz w:val="24"/>
                <w:szCs w:val="24"/>
                <w:highlight w:val="none"/>
                <w:lang w:val="en-US" w:eastAsia="zh-CN"/>
              </w:rPr>
              <w:t>根据验收</w:t>
            </w:r>
            <w:r>
              <w:rPr>
                <w:rFonts w:hint="default" w:ascii="Times New Roman" w:hAnsi="Times New Roman" w:eastAsia="宋体" w:cs="Times New Roman"/>
                <w:color w:val="auto"/>
                <w:sz w:val="24"/>
                <w:szCs w:val="24"/>
                <w:highlight w:val="none"/>
                <w:lang w:val="en-US" w:eastAsia="zh-CN"/>
              </w:rPr>
              <w:t>监测结果</w:t>
            </w:r>
            <w:r>
              <w:rPr>
                <w:rFonts w:hint="eastAsia" w:ascii="Times New Roman" w:hAnsi="Times New Roman" w:eastAsia="宋体" w:cs="Times New Roman"/>
                <w:color w:val="auto"/>
                <w:sz w:val="24"/>
                <w:szCs w:val="24"/>
                <w:highlight w:val="none"/>
                <w:lang w:val="en-US" w:eastAsia="zh-CN"/>
              </w:rPr>
              <w:t>表明，东、南、西、北厂界昼间最大噪声值为62dB(A)，</w:t>
            </w:r>
            <w:r>
              <w:rPr>
                <w:rFonts w:hint="default" w:ascii="Times New Roman" w:hAnsi="Times New Roman" w:eastAsia="宋体" w:cs="Times New Roman"/>
                <w:color w:val="auto"/>
                <w:sz w:val="24"/>
                <w:szCs w:val="24"/>
                <w:highlight w:val="none"/>
                <w:lang w:val="en-US" w:eastAsia="zh-CN"/>
              </w:rPr>
              <w:t>满足国家《工业企业厂界环境噪声排放标准》（GB12348-2008）中3类标准。</w:t>
            </w:r>
          </w:p>
          <w:p w14:paraId="06F775C9">
            <w:pPr>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五、固体废物</w:t>
            </w:r>
            <w:bookmarkEnd w:id="20"/>
          </w:p>
          <w:p w14:paraId="7F9BE9AE">
            <w:pPr>
              <w:spacing w:line="360" w:lineRule="auto"/>
              <w:ind w:firstLine="480" w:firstLineChars="200"/>
              <w:rPr>
                <w:rFonts w:hint="default" w:ascii="Times New Roman" w:hAnsi="Times New Roman" w:eastAsia="宋体" w:cs="Times New Roman"/>
                <w:color w:val="auto"/>
                <w:sz w:val="24"/>
                <w:szCs w:val="24"/>
                <w:lang w:val="en-US" w:eastAsia="zh-CN"/>
              </w:rPr>
            </w:pPr>
            <w:bookmarkStart w:id="21" w:name="_Toc504467805"/>
            <w:r>
              <w:rPr>
                <w:rFonts w:hint="default" w:ascii="Times New Roman" w:hAnsi="Times New Roman" w:eastAsia="宋体" w:cs="Times New Roman"/>
                <w:color w:val="auto"/>
                <w:sz w:val="24"/>
                <w:szCs w:val="24"/>
                <w:lang w:val="en-US" w:eastAsia="zh-CN"/>
              </w:rPr>
              <w:t>本项目日常运营中产生的固体废物为生活垃圾、一般工业固体废物和危险废物。</w:t>
            </w:r>
          </w:p>
          <w:p w14:paraId="2FA2B360">
            <w:pPr>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生活垃圾：</w:t>
            </w:r>
            <w:r>
              <w:rPr>
                <w:rFonts w:hint="eastAsia" w:ascii="Times New Roman" w:hAnsi="Times New Roman" w:eastAsia="宋体" w:cs="Times New Roman"/>
                <w:color w:val="auto"/>
                <w:sz w:val="24"/>
                <w:szCs w:val="24"/>
                <w:lang w:val="zh-TW" w:eastAsia="zh-CN"/>
              </w:rPr>
              <w:t>经分类收集后，</w:t>
            </w:r>
            <w:r>
              <w:rPr>
                <w:rFonts w:hint="eastAsia" w:ascii="Times New Roman" w:hAnsi="Times New Roman" w:cs="Times New Roman"/>
                <w:sz w:val="24"/>
                <w:szCs w:val="24"/>
              </w:rPr>
              <w:t>转运至园区垃圾站，由物业委托环卫部门清运。</w:t>
            </w:r>
          </w:p>
          <w:p w14:paraId="7F27803A">
            <w:pPr>
              <w:pStyle w:val="6"/>
              <w:widowControl/>
              <w:spacing w:line="360" w:lineRule="auto"/>
              <w:ind w:firstLine="480"/>
              <w:rPr>
                <w:rFonts w:hint="eastAsia" w:ascii="Times New Roman" w:hAnsi="Times New Roman" w:eastAsia="宋体" w:cs="Times New Roman"/>
                <w:sz w:val="24"/>
                <w:szCs w:val="24"/>
                <w:lang w:eastAsia="zh-CN"/>
              </w:rPr>
            </w:pPr>
            <w:r>
              <w:rPr>
                <w:rFonts w:hint="default" w:ascii="Times New Roman" w:hAnsi="Times New Roman" w:eastAsia="宋体" w:cs="Times New Roman"/>
                <w:color w:val="auto"/>
                <w:sz w:val="24"/>
                <w:szCs w:val="24"/>
                <w:lang w:val="en-US" w:eastAsia="zh-CN"/>
              </w:rPr>
              <w:t>一般工业固体废物：</w:t>
            </w:r>
            <w:r>
              <w:rPr>
                <w:rFonts w:hint="eastAsia" w:ascii="Times New Roman" w:hAnsi="Times New Roman" w:cs="Times New Roman"/>
                <w:sz w:val="24"/>
                <w:szCs w:val="24"/>
              </w:rPr>
              <w:t>主要是</w:t>
            </w:r>
            <w:r>
              <w:rPr>
                <w:rFonts w:hint="eastAsia" w:ascii="Times New Roman" w:hAnsi="Times New Roman" w:cs="Times New Roman"/>
                <w:sz w:val="24"/>
                <w:szCs w:val="24"/>
                <w:lang w:val="zh-TW"/>
              </w:rPr>
              <w:t>各种废弃的包装材料等</w:t>
            </w:r>
            <w:r>
              <w:rPr>
                <w:rFonts w:hint="eastAsia" w:ascii="Times New Roman" w:hAnsi="Times New Roman" w:cs="Times New Roman"/>
                <w:sz w:val="24"/>
                <w:szCs w:val="24"/>
              </w:rPr>
              <w:t>，转运至园区垃圾站，由物业委托环卫部门清运</w:t>
            </w:r>
            <w:r>
              <w:rPr>
                <w:rFonts w:hint="eastAsia" w:ascii="Times New Roman" w:hAnsi="Times New Roman" w:cs="Times New Roman"/>
                <w:sz w:val="24"/>
                <w:szCs w:val="24"/>
                <w:lang w:eastAsia="zh-CN"/>
              </w:rPr>
              <w:t>。</w:t>
            </w:r>
          </w:p>
          <w:p w14:paraId="076D0B48">
            <w:pPr>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cs="Times New Roman"/>
                <w:sz w:val="24"/>
                <w:szCs w:val="28"/>
                <w:lang w:val="en-US" w:eastAsia="zh-CN"/>
              </w:rPr>
              <w:t>危险废物</w:t>
            </w:r>
            <w:r>
              <w:rPr>
                <w:rFonts w:hint="eastAsia" w:ascii="Times New Roman" w:hAnsi="Times New Roman" w:cs="Times New Roman"/>
                <w:sz w:val="24"/>
                <w:szCs w:val="28"/>
                <w:lang w:val="en-US" w:eastAsia="zh-CN"/>
              </w:rPr>
              <w:t>：</w:t>
            </w:r>
            <w:r>
              <w:rPr>
                <w:rFonts w:hint="eastAsia" w:ascii="Times New Roman" w:hAnsi="Times New Roman" w:eastAsia="宋体" w:cs="Times New Roman"/>
                <w:kern w:val="0"/>
                <w:sz w:val="24"/>
                <w:szCs w:val="24"/>
                <w:lang w:bidi="ar"/>
              </w:rPr>
              <w:t>主要为实验过程中产生的废化学试剂（HW49），检测过程中产生的检测废水（HW49），废气处理装置定期产生的废活性炭（HW49），实验过程中所用或者产生的废试剂瓶（HW49）、一次性口罩、手套、废培养基、废移液枪头（HW01）等。收集后</w:t>
            </w:r>
            <w:r>
              <w:rPr>
                <w:rFonts w:hint="eastAsia" w:ascii="Times New Roman" w:hAnsi="Times New Roman" w:eastAsia="宋体" w:cs="Times New Roman"/>
                <w:kern w:val="0"/>
                <w:sz w:val="24"/>
                <w:szCs w:val="24"/>
                <w:lang w:val="zh-TW" w:bidi="ar"/>
              </w:rPr>
              <w:t>暂存于危废暂存间内，定期交由</w:t>
            </w:r>
            <w:r>
              <w:rPr>
                <w:rFonts w:ascii="Times New Roman" w:hAnsi="Times New Roman" w:eastAsia="宋体" w:cs="Times New Roman"/>
                <w:kern w:val="0"/>
                <w:sz w:val="24"/>
                <w:szCs w:val="24"/>
                <w:lang w:bidi="ar"/>
              </w:rPr>
              <w:t>北京鼎泰鹏宇环保科技有限公司</w:t>
            </w:r>
            <w:r>
              <w:rPr>
                <w:rFonts w:hint="eastAsia" w:ascii="Times New Roman" w:hAnsi="Times New Roman" w:eastAsia="宋体" w:cs="Times New Roman"/>
                <w:kern w:val="0"/>
                <w:sz w:val="24"/>
                <w:szCs w:val="24"/>
                <w:lang w:bidi="ar"/>
              </w:rPr>
              <w:t>及北京鑫鑫顺通运输服务有限公司清运、</w:t>
            </w:r>
            <w:r>
              <w:rPr>
                <w:rFonts w:hint="eastAsia" w:ascii="Times New Roman" w:hAnsi="Times New Roman" w:eastAsia="宋体" w:cs="Times New Roman"/>
                <w:kern w:val="0"/>
                <w:sz w:val="24"/>
                <w:szCs w:val="24"/>
                <w:lang w:val="zh-TW" w:bidi="ar"/>
              </w:rPr>
              <w:t>处置。</w:t>
            </w:r>
          </w:p>
          <w:p w14:paraId="5B383FB5">
            <w:pPr>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六、污染物排放量</w:t>
            </w:r>
            <w:bookmarkEnd w:id="21"/>
          </w:p>
          <w:p w14:paraId="52B53B68">
            <w:pPr>
              <w:spacing w:line="360" w:lineRule="auto"/>
              <w:ind w:firstLine="480" w:firstLineChars="200"/>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pPr>
            <w:bookmarkStart w:id="22" w:name="_Toc515281399"/>
            <w:r>
              <w:rPr>
                <w:rFonts w:hint="default" w:ascii="Times New Roman" w:hAnsi="Times New Roman" w:eastAsia="宋体" w:cs="Times New Roman"/>
                <w:color w:val="auto"/>
                <w:sz w:val="24"/>
                <w:szCs w:val="24"/>
                <w:lang w:val="en-US" w:eastAsia="zh-CN"/>
              </w:rPr>
              <w:t>污染物总量：根据环评</w:t>
            </w:r>
            <w:r>
              <w:rPr>
                <w:rFonts w:hint="eastAsia" w:ascii="Times New Roman" w:hAnsi="Times New Roman" w:eastAsia="宋体" w:cs="Times New Roman"/>
                <w:color w:val="auto"/>
                <w:sz w:val="24"/>
                <w:szCs w:val="24"/>
                <w:lang w:val="en-US" w:eastAsia="zh-CN"/>
              </w:rPr>
              <w:t>批复</w:t>
            </w:r>
            <w:r>
              <w:rPr>
                <w:rFonts w:hint="default" w:ascii="Times New Roman" w:hAnsi="Times New Roman" w:eastAsia="宋体" w:cs="Times New Roman"/>
                <w:color w:val="auto"/>
                <w:sz w:val="24"/>
                <w:szCs w:val="24"/>
                <w:lang w:val="en-US" w:eastAsia="zh-CN"/>
              </w:rPr>
              <w:t>，本项目废</w:t>
            </w:r>
            <w:r>
              <w:rPr>
                <w:rFonts w:hint="eastAsia" w:ascii="Times New Roman" w:hAnsi="Times New Roman" w:eastAsia="宋体" w:cs="Times New Roman"/>
                <w:color w:val="auto"/>
                <w:sz w:val="24"/>
                <w:szCs w:val="24"/>
                <w:lang w:val="en-US" w:eastAsia="zh-CN"/>
              </w:rPr>
              <w:t>气</w:t>
            </w:r>
            <w:r>
              <w:rPr>
                <w:rFonts w:hint="default" w:ascii="Times New Roman" w:hAnsi="Times New Roman" w:eastAsia="宋体" w:cs="Times New Roman"/>
                <w:color w:val="auto"/>
                <w:sz w:val="24"/>
                <w:szCs w:val="24"/>
                <w:lang w:val="en-US" w:eastAsia="zh-CN"/>
              </w:rPr>
              <w:t>总量指标为</w:t>
            </w: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非甲烷总烃</w:t>
            </w:r>
            <w:r>
              <w:rPr>
                <w:rFonts w:hint="eastAsia" w:ascii="Times New Roman" w:hAnsi="Times New Roman" w:eastAsia="宋体" w:cs="Times New Roman"/>
                <w:color w:val="000000" w:themeColor="text1"/>
                <w:kern w:val="24"/>
                <w:sz w:val="24"/>
                <w:szCs w:val="24"/>
                <w:lang w:val="en-US" w:eastAsia="zh-CN" w:bidi="ar-SA"/>
                <w14:textFill>
                  <w14:solidFill>
                    <w14:schemeClr w14:val="tx1"/>
                  </w14:solidFill>
                </w14:textFill>
              </w:rPr>
              <w:t>0.00003</w:t>
            </w:r>
            <w:r>
              <w:rPr>
                <w:rFonts w:hint="default" w:ascii="Times New Roman" w:hAnsi="Times New Roman" w:eastAsia="宋体" w:cs="Times New Roman"/>
                <w:color w:val="000000" w:themeColor="text1"/>
                <w:kern w:val="24"/>
                <w:sz w:val="24"/>
                <w:szCs w:val="24"/>
                <w:lang w:val="en-US" w:eastAsia="zh-CN" w:bidi="ar-SA"/>
                <w14:textFill>
                  <w14:solidFill>
                    <w14:schemeClr w14:val="tx1"/>
                  </w14:solidFill>
                </w14:textFill>
              </w:rPr>
              <w:t xml:space="preserve">t/a </w:t>
            </w:r>
            <w:r>
              <w:rPr>
                <w:rFonts w:hint="eastAsia" w:ascii="Times New Roman" w:hAnsi="Times New Roman" w:eastAsia="宋体" w:cs="Times New Roman"/>
                <w:color w:val="000000" w:themeColor="text1"/>
                <w:kern w:val="24"/>
                <w:sz w:val="24"/>
                <w:szCs w:val="24"/>
                <w:lang w:val="en-US" w:eastAsia="zh-CN" w:bidi="ar-SA"/>
                <w14:textFill>
                  <w14:solidFill>
                    <w14:schemeClr w14:val="tx1"/>
                  </w14:solidFill>
                </w14:textFill>
              </w:rPr>
              <w:t>，</w:t>
            </w:r>
            <w:r>
              <w:rPr>
                <w:rFonts w:hint="default" w:ascii="Times New Roman" w:hAnsi="Times New Roman" w:eastAsia="宋体" w:cs="Times New Roman"/>
                <w:color w:val="auto"/>
                <w:sz w:val="24"/>
                <w:szCs w:val="24"/>
                <w:lang w:val="en-US" w:eastAsia="zh-CN"/>
              </w:rPr>
              <w:t>废水总量指标为</w:t>
            </w: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化学需氧量</w:t>
            </w:r>
            <w:r>
              <w:rPr>
                <w:rFonts w:hint="eastAsia" w:ascii="Times New Roman" w:hAnsi="Times New Roman" w:eastAsia="宋体" w:cs="Times New Roman"/>
                <w:color w:val="000000" w:themeColor="text1"/>
                <w:kern w:val="24"/>
                <w:sz w:val="24"/>
                <w:szCs w:val="24"/>
                <w:lang w:val="en-US" w:eastAsia="zh-CN" w:bidi="ar-SA"/>
                <w14:textFill>
                  <w14:solidFill>
                    <w14:schemeClr w14:val="tx1"/>
                  </w14:solidFill>
                </w14:textFill>
              </w:rPr>
              <w:t>1.906</w:t>
            </w:r>
            <w:r>
              <w:rPr>
                <w:rFonts w:hint="default" w:ascii="Times New Roman" w:hAnsi="Times New Roman" w:eastAsia="宋体" w:cs="Times New Roman"/>
                <w:color w:val="000000" w:themeColor="text1"/>
                <w:kern w:val="24"/>
                <w:sz w:val="24"/>
                <w:szCs w:val="24"/>
                <w:lang w:val="en-US" w:eastAsia="zh-CN" w:bidi="ar-SA"/>
                <w14:textFill>
                  <w14:solidFill>
                    <w14:schemeClr w14:val="tx1"/>
                  </w14:solidFill>
                </w14:textFill>
              </w:rPr>
              <w:t>t/a ，</w:t>
            </w:r>
            <w:r>
              <w:rPr>
                <w:rFonts w:hint="eastAsia" w:ascii="Times New Roman" w:hAnsi="Times New Roman" w:eastAsia="宋体" w:cs="Times New Roman"/>
                <w:color w:val="000000" w:themeColor="text1"/>
                <w:kern w:val="24"/>
                <w:sz w:val="24"/>
                <w:szCs w:val="24"/>
                <w:lang w:val="en-US" w:eastAsia="zh-CN" w:bidi="ar-SA"/>
                <w14:textFill>
                  <w14:solidFill>
                    <w14:schemeClr w14:val="tx1"/>
                  </w14:solidFill>
                </w14:textFill>
              </w:rPr>
              <w:t>氨氮0.099</w:t>
            </w:r>
            <w:r>
              <w:rPr>
                <w:rFonts w:hint="default" w:ascii="Times New Roman" w:hAnsi="Times New Roman" w:eastAsia="宋体" w:cs="Times New Roman"/>
                <w:color w:val="000000" w:themeColor="text1"/>
                <w:kern w:val="24"/>
                <w:sz w:val="24"/>
                <w:szCs w:val="24"/>
                <w:lang w:val="en-US" w:eastAsia="zh-CN" w:bidi="ar-SA"/>
                <w14:textFill>
                  <w14:solidFill>
                    <w14:schemeClr w14:val="tx1"/>
                  </w14:solidFill>
                </w14:textFill>
              </w:rPr>
              <w:t>t/a</w:t>
            </w:r>
            <w:r>
              <w:rPr>
                <w:rFonts w:hint="default" w:ascii="Times New Roman" w:hAnsi="Times New Roman" w:eastAsia="宋体" w:cs="Times New Roman"/>
                <w:color w:val="auto"/>
                <w:sz w:val="24"/>
                <w:szCs w:val="24"/>
                <w:lang w:val="en-US" w:eastAsia="zh-CN"/>
              </w:rPr>
              <w:t>，本项目运行期实际排放废水总量为</w:t>
            </w:r>
            <w:r>
              <w:rPr>
                <w:rFonts w:hint="eastAsia" w:ascii="Times New Roman" w:hAnsi="Times New Roman" w:eastAsia="宋体" w:cs="Times New Roman"/>
                <w:color w:val="000000" w:themeColor="text1"/>
                <w:kern w:val="24"/>
                <w:sz w:val="24"/>
                <w:szCs w:val="24"/>
                <w:lang w:val="en-US" w:eastAsia="zh-CN" w:bidi="ar-SA"/>
                <w14:textFill>
                  <w14:solidFill>
                    <w14:schemeClr w14:val="tx1"/>
                  </w14:solidFill>
                </w14:textFill>
              </w:rPr>
              <w:t>化学</w:t>
            </w: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需氧量0.048381375</w:t>
            </w:r>
            <w:r>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t/a、氨氮</w:t>
            </w:r>
            <w:r>
              <w:rPr>
                <w:rFonts w:hint="eastAsia"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0.017777275</w:t>
            </w:r>
            <w:r>
              <w:rPr>
                <w:rFonts w:hint="default" w:ascii="Times New Roman" w:hAnsi="Times New Roman" w:eastAsia="宋体" w:cs="Times New Roman"/>
                <w:b w:val="0"/>
                <w:bCs/>
                <w:color w:val="000000" w:themeColor="text1"/>
                <w:kern w:val="24"/>
                <w:sz w:val="24"/>
                <w:szCs w:val="24"/>
                <w:lang w:val="en-US" w:eastAsia="zh-CN" w:bidi="ar-SA"/>
                <w14:textFill>
                  <w14:solidFill>
                    <w14:schemeClr w14:val="tx1"/>
                  </w14:solidFill>
                </w14:textFill>
              </w:rPr>
              <w:t>t/a</w:t>
            </w:r>
          </w:p>
          <w:p w14:paraId="6213D095">
            <w:pPr>
              <w:spacing w:line="360" w:lineRule="auto"/>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七</w:t>
            </w:r>
            <w:r>
              <w:rPr>
                <w:rFonts w:hint="default" w:ascii="Times New Roman" w:hAnsi="Times New Roman" w:eastAsia="宋体" w:cs="Times New Roman"/>
                <w:color w:val="auto"/>
                <w:sz w:val="24"/>
                <w:szCs w:val="24"/>
                <w:lang w:val="en-US" w:eastAsia="zh-CN"/>
              </w:rPr>
              <w:t>、</w:t>
            </w:r>
            <w:bookmarkEnd w:id="22"/>
            <w:r>
              <w:rPr>
                <w:rFonts w:hint="eastAsia" w:ascii="Times New Roman" w:hAnsi="Times New Roman" w:eastAsia="宋体" w:cs="Times New Roman"/>
                <w:color w:val="auto"/>
                <w:sz w:val="24"/>
                <w:szCs w:val="24"/>
                <w:lang w:val="en-US" w:eastAsia="zh-CN"/>
              </w:rPr>
              <w:t>后续要求</w:t>
            </w:r>
          </w:p>
          <w:p w14:paraId="498F6FBD">
            <w:pPr>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严格执行国家环境保护规定，确保环保设施管理、运行符合有关规定，并不断提高对环境风险防范的控制措施；严格按照《危险废物贮存污染控制标准》规范危险废物的贮存，运输及处置方式，建立健全的危险废物转移台账。</w:t>
            </w:r>
          </w:p>
          <w:p w14:paraId="139AA1F4">
            <w:pPr>
              <w:pStyle w:val="2"/>
              <w:rPr>
                <w:rFonts w:hint="default" w:ascii="Times New Roman" w:hAnsi="Times New Roman" w:eastAsia="宋体" w:cs="Times New Roman"/>
                <w:color w:val="auto"/>
                <w:sz w:val="24"/>
                <w:szCs w:val="24"/>
                <w:lang w:val="en-US" w:eastAsia="zh-CN"/>
              </w:rPr>
            </w:pPr>
          </w:p>
          <w:p w14:paraId="4599A207">
            <w:pPr>
              <w:rPr>
                <w:rFonts w:hint="default" w:ascii="Times New Roman" w:hAnsi="Times New Roman" w:eastAsia="宋体" w:cs="Times New Roman"/>
                <w:color w:val="auto"/>
                <w:sz w:val="24"/>
                <w:szCs w:val="24"/>
                <w:lang w:val="en-US" w:eastAsia="zh-CN"/>
              </w:rPr>
            </w:pPr>
          </w:p>
          <w:p w14:paraId="70296001">
            <w:pPr>
              <w:pStyle w:val="2"/>
              <w:rPr>
                <w:rFonts w:hint="default" w:ascii="Times New Roman" w:hAnsi="Times New Roman" w:eastAsia="宋体" w:cs="Times New Roman"/>
                <w:color w:val="auto"/>
                <w:sz w:val="24"/>
                <w:szCs w:val="24"/>
                <w:lang w:val="en-US" w:eastAsia="zh-CN"/>
              </w:rPr>
            </w:pPr>
          </w:p>
          <w:p w14:paraId="0872A2C3">
            <w:pPr>
              <w:rPr>
                <w:rFonts w:hint="default" w:ascii="Times New Roman" w:hAnsi="Times New Roman" w:eastAsia="宋体" w:cs="Times New Roman"/>
                <w:color w:val="auto"/>
                <w:sz w:val="24"/>
                <w:szCs w:val="24"/>
                <w:lang w:val="en-US" w:eastAsia="zh-CN"/>
              </w:rPr>
            </w:pPr>
          </w:p>
          <w:p w14:paraId="1CD480C1">
            <w:pPr>
              <w:pStyle w:val="2"/>
              <w:rPr>
                <w:rFonts w:hint="default" w:ascii="Times New Roman" w:hAnsi="Times New Roman" w:eastAsia="宋体" w:cs="Times New Roman"/>
                <w:color w:val="auto"/>
                <w:sz w:val="24"/>
                <w:szCs w:val="24"/>
                <w:lang w:val="en-US" w:eastAsia="zh-CN"/>
              </w:rPr>
            </w:pPr>
          </w:p>
          <w:p w14:paraId="340EE1CE">
            <w:pPr>
              <w:pStyle w:val="2"/>
              <w:rPr>
                <w:rFonts w:hint="default"/>
                <w:lang w:val="en-US" w:eastAsia="zh-CN"/>
              </w:rPr>
            </w:pPr>
          </w:p>
        </w:tc>
      </w:tr>
      <w:bookmarkEnd w:id="18"/>
    </w:tbl>
    <w:p w14:paraId="5EA36191">
      <w:pPr>
        <w:widowControl/>
        <w:jc w:val="left"/>
        <w:rPr>
          <w:rFonts w:hint="default" w:ascii="Times New Roman" w:hAnsi="Times New Roman" w:eastAsia="宋体" w:cs="Times New Roman"/>
          <w:color w:val="000000"/>
          <w:sz w:val="24"/>
          <w:szCs w:val="24"/>
        </w:rPr>
        <w:sectPr>
          <w:footerReference r:id="rId4" w:type="default"/>
          <w:pgSz w:w="11907" w:h="16840"/>
          <w:pgMar w:top="1304" w:right="1418" w:bottom="1304" w:left="1418" w:header="284" w:footer="851" w:gutter="0"/>
          <w:pgBorders>
            <w:top w:val="none" w:sz="0" w:space="0"/>
            <w:left w:val="none" w:sz="0" w:space="0"/>
            <w:bottom w:val="none" w:sz="0" w:space="0"/>
            <w:right w:val="none" w:sz="0" w:space="0"/>
          </w:pgBorders>
          <w:pgNumType w:fmt="decimal" w:start="1"/>
          <w:cols w:space="720" w:num="1"/>
          <w:docGrid w:linePitch="286" w:charSpace="0"/>
        </w:sectPr>
      </w:pPr>
    </w:p>
    <w:p w14:paraId="69C6372A">
      <w:pPr>
        <w:pStyle w:val="2"/>
        <w:jc w:val="center"/>
        <w:rPr>
          <w:rFonts w:ascii="Times New Roman" w:hAnsi="Times New Roman" w:cs="Times New Roman" w:eastAsiaTheme="minorEastAsia"/>
          <w:b/>
          <w:bCs w:val="0"/>
          <w:sz w:val="21"/>
          <w:szCs w:val="21"/>
        </w:rPr>
      </w:pPr>
      <w:r>
        <w:rPr>
          <w:rFonts w:ascii="Times New Roman" w:hAnsi="Times New Roman" w:cs="Times New Roman" w:eastAsiaTheme="minorEastAsia"/>
          <w:b/>
          <w:bCs w:val="0"/>
          <w:sz w:val="21"/>
          <w:szCs w:val="21"/>
        </w:rPr>
        <w:t>建设项目工程竣工环境保护“三同时”验收登记表</w:t>
      </w:r>
    </w:p>
    <w:p w14:paraId="0C8ABF7B">
      <w:pPr>
        <w:rPr>
          <w:rFonts w:hint="default"/>
        </w:rPr>
      </w:pPr>
      <w:r>
        <w:rPr>
          <w:rFonts w:ascii="Times New Roman" w:hAnsi="Times New Roman" w:cs="Times New Roman"/>
          <w:b/>
          <w:szCs w:val="21"/>
        </w:rPr>
        <w:t>填表单位（盖章）：</w:t>
      </w:r>
      <w:r>
        <w:rPr>
          <w:rFonts w:hint="eastAsia" w:ascii="Times New Roman" w:hAnsi="Times New Roman" w:cs="Times New Roman"/>
          <w:b/>
          <w:szCs w:val="21"/>
          <w:lang w:eastAsia="zh-CN"/>
        </w:rPr>
        <w:t>北京永泰生物制品有限公司</w:t>
      </w:r>
      <w:r>
        <w:rPr>
          <w:rFonts w:ascii="Times New Roman" w:hAnsi="Times New Roman" w:cs="Times New Roman"/>
          <w:b/>
          <w:szCs w:val="21"/>
        </w:rPr>
        <w:t xml:space="preserve">              填表人（签字）：                       项目经办人（签字）：</w:t>
      </w:r>
    </w:p>
    <w:tbl>
      <w:tblPr>
        <w:tblStyle w:val="29"/>
        <w:tblW w:w="147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0"/>
        <w:gridCol w:w="284"/>
        <w:gridCol w:w="1590"/>
        <w:gridCol w:w="726"/>
        <w:gridCol w:w="1012"/>
        <w:gridCol w:w="979"/>
        <w:gridCol w:w="966"/>
        <w:gridCol w:w="386"/>
        <w:gridCol w:w="560"/>
        <w:gridCol w:w="936"/>
        <w:gridCol w:w="1111"/>
        <w:gridCol w:w="2052"/>
        <w:gridCol w:w="964"/>
        <w:gridCol w:w="682"/>
        <w:gridCol w:w="240"/>
        <w:gridCol w:w="931"/>
        <w:gridCol w:w="910"/>
      </w:tblGrid>
      <w:tr w14:paraId="7F729B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75" w:hRule="atLeast"/>
          <w:jc w:val="center"/>
        </w:trPr>
        <w:tc>
          <w:tcPr>
            <w:tcW w:w="400" w:type="dxa"/>
            <w:vMerge w:val="restart"/>
            <w:textDirection w:val="tbRlV"/>
            <w:vAlign w:val="center"/>
          </w:tcPr>
          <w:p w14:paraId="4A96D900">
            <w:pPr>
              <w:ind w:left="113" w:right="113"/>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建设项目</w:t>
            </w:r>
          </w:p>
        </w:tc>
        <w:tc>
          <w:tcPr>
            <w:tcW w:w="1874" w:type="dxa"/>
            <w:gridSpan w:val="2"/>
            <w:vAlign w:val="center"/>
          </w:tcPr>
          <w:p w14:paraId="50EDF40F">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项目名称</w:t>
            </w:r>
          </w:p>
        </w:tc>
        <w:tc>
          <w:tcPr>
            <w:tcW w:w="4629" w:type="dxa"/>
            <w:gridSpan w:val="6"/>
            <w:vAlign w:val="center"/>
          </w:tcPr>
          <w:p w14:paraId="2E63DC5C">
            <w:pPr>
              <w:jc w:val="center"/>
              <w:rPr>
                <w:rFonts w:hint="default" w:ascii="Times New Roman" w:hAnsi="Times New Roman" w:eastAsia="宋体" w:cs="Times New Roman"/>
                <w:b w:val="0"/>
                <w:bCs/>
                <w:sz w:val="15"/>
                <w:szCs w:val="15"/>
                <w:lang w:val="en-US" w:eastAsia="zh-CN"/>
              </w:rPr>
            </w:pPr>
            <w:r>
              <w:rPr>
                <w:rFonts w:hint="eastAsia" w:ascii="Times New Roman" w:hAnsi="Times New Roman" w:eastAsia="宋体" w:cs="Times New Roman"/>
                <w:b w:val="0"/>
                <w:bCs/>
                <w:sz w:val="15"/>
                <w:szCs w:val="15"/>
                <w:lang w:val="en-US" w:eastAsia="zh-CN"/>
              </w:rPr>
              <w:t>北京永泰生物制品有限公司</w:t>
            </w:r>
          </w:p>
        </w:tc>
        <w:tc>
          <w:tcPr>
            <w:tcW w:w="2047" w:type="dxa"/>
            <w:gridSpan w:val="2"/>
            <w:vAlign w:val="center"/>
          </w:tcPr>
          <w:p w14:paraId="1BAF5919">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项目代码</w:t>
            </w:r>
          </w:p>
        </w:tc>
        <w:tc>
          <w:tcPr>
            <w:tcW w:w="2052" w:type="dxa"/>
            <w:vAlign w:val="center"/>
          </w:tcPr>
          <w:p w14:paraId="3F6870B1">
            <w:pPr>
              <w:jc w:val="center"/>
              <w:rPr>
                <w:rFonts w:hint="default" w:ascii="Times New Roman" w:hAnsi="Times New Roman" w:eastAsia="宋体" w:cs="Times New Roman"/>
                <w:b/>
                <w:sz w:val="15"/>
                <w:szCs w:val="15"/>
                <w:lang w:val="en-US" w:eastAsia="zh-CN"/>
              </w:rPr>
            </w:pPr>
            <w:r>
              <w:rPr>
                <w:rFonts w:hint="eastAsia" w:ascii="Times New Roman" w:hAnsi="Times New Roman" w:cs="Times New Roman"/>
                <w:b/>
                <w:sz w:val="15"/>
                <w:szCs w:val="15"/>
                <w:lang w:val="en-US" w:eastAsia="zh-CN"/>
              </w:rPr>
              <w:t>202017005271303562</w:t>
            </w:r>
          </w:p>
        </w:tc>
        <w:tc>
          <w:tcPr>
            <w:tcW w:w="1646" w:type="dxa"/>
            <w:gridSpan w:val="2"/>
            <w:vAlign w:val="center"/>
          </w:tcPr>
          <w:p w14:paraId="36D2C342">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建设地点</w:t>
            </w:r>
          </w:p>
        </w:tc>
        <w:tc>
          <w:tcPr>
            <w:tcW w:w="2081" w:type="dxa"/>
            <w:gridSpan w:val="3"/>
            <w:vAlign w:val="center"/>
          </w:tcPr>
          <w:p w14:paraId="5CB9FA4C">
            <w:pPr>
              <w:jc w:val="center"/>
              <w:rPr>
                <w:rFonts w:hint="default" w:ascii="Times New Roman" w:hAnsi="Times New Roman" w:eastAsia="宋体" w:cs="Times New Roman"/>
                <w:b/>
                <w:sz w:val="15"/>
                <w:szCs w:val="15"/>
                <w:lang w:val="en-US" w:eastAsia="zh-CN"/>
              </w:rPr>
            </w:pPr>
            <w:r>
              <w:rPr>
                <w:rFonts w:hint="eastAsia" w:ascii="Times New Roman" w:hAnsi="Times New Roman" w:eastAsia="宋体" w:cs="Times New Roman"/>
                <w:b w:val="0"/>
                <w:bCs/>
                <w:sz w:val="15"/>
                <w:szCs w:val="15"/>
                <w:lang w:val="en-US" w:eastAsia="zh-CN"/>
              </w:rPr>
              <w:t>北京经济技术开发区康定街1号2幢3层</w:t>
            </w:r>
          </w:p>
        </w:tc>
      </w:tr>
      <w:tr w14:paraId="0E691A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1" w:hRule="atLeast"/>
          <w:jc w:val="center"/>
        </w:trPr>
        <w:tc>
          <w:tcPr>
            <w:tcW w:w="400" w:type="dxa"/>
            <w:vMerge w:val="continue"/>
            <w:vAlign w:val="center"/>
          </w:tcPr>
          <w:p w14:paraId="76DAFF59">
            <w:pPr>
              <w:rPr>
                <w:rFonts w:hint="default" w:ascii="Times New Roman" w:hAnsi="Times New Roman" w:eastAsia="宋体" w:cs="Times New Roman"/>
                <w:sz w:val="15"/>
                <w:szCs w:val="15"/>
              </w:rPr>
            </w:pPr>
          </w:p>
        </w:tc>
        <w:tc>
          <w:tcPr>
            <w:tcW w:w="1874" w:type="dxa"/>
            <w:gridSpan w:val="2"/>
            <w:vAlign w:val="center"/>
          </w:tcPr>
          <w:p w14:paraId="267B507A">
            <w:pPr>
              <w:jc w:val="center"/>
              <w:rPr>
                <w:rFonts w:hint="default" w:ascii="Times New Roman" w:hAnsi="Times New Roman" w:eastAsia="宋体" w:cs="Times New Roman"/>
                <w:sz w:val="15"/>
                <w:szCs w:val="15"/>
              </w:rPr>
            </w:pPr>
            <w:r>
              <w:rPr>
                <w:rFonts w:hint="default" w:ascii="Times New Roman" w:hAnsi="Times New Roman" w:eastAsia="宋体" w:cs="Times New Roman"/>
                <w:b/>
                <w:sz w:val="15"/>
                <w:szCs w:val="15"/>
              </w:rPr>
              <w:t>行业类别（分类管理名录）</w:t>
            </w:r>
          </w:p>
        </w:tc>
        <w:tc>
          <w:tcPr>
            <w:tcW w:w="4629" w:type="dxa"/>
            <w:gridSpan w:val="6"/>
            <w:shd w:val="clear" w:color="auto" w:fill="auto"/>
            <w:vAlign w:val="top"/>
          </w:tcPr>
          <w:p w14:paraId="43AAAC3C">
            <w:pPr>
              <w:pStyle w:val="40"/>
              <w:spacing w:before="179" w:line="231" w:lineRule="auto"/>
              <w:jc w:val="center"/>
              <w:rPr>
                <w:rFonts w:hint="default" w:ascii="Times New Roman" w:hAnsi="Times New Roman" w:eastAsia="宋体" w:cs="Times New Roman"/>
                <w:b w:val="0"/>
                <w:bCs/>
                <w:snapToGrid w:val="0"/>
                <w:color w:val="000000"/>
                <w:kern w:val="2"/>
                <w:sz w:val="15"/>
                <w:szCs w:val="15"/>
                <w:lang w:val="en-US" w:eastAsia="zh-CN" w:bidi="ar-SA"/>
              </w:rPr>
            </w:pPr>
            <w:r>
              <w:rPr>
                <w:rFonts w:hint="eastAsia" w:cs="Times New Roman"/>
                <w:b w:val="0"/>
                <w:bCs/>
                <w:sz w:val="15"/>
                <w:szCs w:val="15"/>
                <w:lang w:val="en-US" w:eastAsia="zh-CN"/>
              </w:rPr>
              <w:t>四十五、研究和实验发展</w:t>
            </w:r>
          </w:p>
        </w:tc>
        <w:tc>
          <w:tcPr>
            <w:tcW w:w="2047" w:type="dxa"/>
            <w:gridSpan w:val="2"/>
            <w:vAlign w:val="center"/>
          </w:tcPr>
          <w:p w14:paraId="73BEDC77">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建设性质</w:t>
            </w:r>
          </w:p>
        </w:tc>
        <w:tc>
          <w:tcPr>
            <w:tcW w:w="5779" w:type="dxa"/>
            <w:gridSpan w:val="6"/>
            <w:vAlign w:val="center"/>
          </w:tcPr>
          <w:p w14:paraId="3BF2751B">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sym w:font="Wingdings 2" w:char="00A3"/>
            </w:r>
            <w:r>
              <w:rPr>
                <w:rFonts w:hint="default" w:ascii="Times New Roman" w:hAnsi="Times New Roman" w:eastAsia="宋体" w:cs="Times New Roman"/>
                <w:b/>
                <w:sz w:val="15"/>
                <w:szCs w:val="15"/>
                <w:lang w:val="en-US" w:eastAsia="zh-CN"/>
              </w:rPr>
              <w:t>新建  ☑改扩建  □技术改造</w:t>
            </w:r>
          </w:p>
        </w:tc>
      </w:tr>
      <w:tr w14:paraId="7FD6CD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58" w:hRule="atLeast"/>
          <w:jc w:val="center"/>
        </w:trPr>
        <w:tc>
          <w:tcPr>
            <w:tcW w:w="400" w:type="dxa"/>
            <w:vMerge w:val="continue"/>
            <w:vAlign w:val="center"/>
          </w:tcPr>
          <w:p w14:paraId="78046226">
            <w:pPr>
              <w:rPr>
                <w:rFonts w:hint="default" w:ascii="Times New Roman" w:hAnsi="Times New Roman" w:eastAsia="宋体" w:cs="Times New Roman"/>
                <w:sz w:val="15"/>
                <w:szCs w:val="15"/>
              </w:rPr>
            </w:pPr>
          </w:p>
        </w:tc>
        <w:tc>
          <w:tcPr>
            <w:tcW w:w="1874" w:type="dxa"/>
            <w:gridSpan w:val="2"/>
            <w:vAlign w:val="center"/>
          </w:tcPr>
          <w:p w14:paraId="1FE3FEBA">
            <w:pPr>
              <w:jc w:val="center"/>
              <w:rPr>
                <w:rFonts w:hint="default" w:ascii="Times New Roman" w:hAnsi="Times New Roman" w:eastAsia="宋体" w:cs="Times New Roman"/>
                <w:sz w:val="15"/>
                <w:szCs w:val="15"/>
              </w:rPr>
            </w:pPr>
            <w:r>
              <w:rPr>
                <w:rFonts w:hint="default" w:ascii="Times New Roman" w:hAnsi="Times New Roman" w:eastAsia="宋体" w:cs="Times New Roman"/>
                <w:b/>
                <w:sz w:val="15"/>
                <w:szCs w:val="15"/>
              </w:rPr>
              <w:t>设计生产能力</w:t>
            </w:r>
          </w:p>
        </w:tc>
        <w:tc>
          <w:tcPr>
            <w:tcW w:w="4629" w:type="dxa"/>
            <w:gridSpan w:val="6"/>
            <w:vAlign w:val="center"/>
          </w:tcPr>
          <w:p w14:paraId="5881F506">
            <w:pPr>
              <w:jc w:val="center"/>
              <w:rPr>
                <w:rFonts w:hint="default" w:ascii="Times New Roman" w:hAnsi="Times New Roman" w:eastAsia="宋体" w:cs="Times New Roman"/>
                <w:b w:val="0"/>
                <w:bCs/>
                <w:sz w:val="15"/>
                <w:szCs w:val="15"/>
                <w:lang w:val="en-US" w:eastAsia="zh-CN"/>
              </w:rPr>
            </w:pPr>
            <w:r>
              <w:rPr>
                <w:rFonts w:hint="eastAsia" w:ascii="Times New Roman" w:hAnsi="Times New Roman" w:eastAsia="宋体" w:cs="Times New Roman"/>
                <w:b w:val="0"/>
                <w:bCs/>
                <w:sz w:val="15"/>
                <w:szCs w:val="15"/>
                <w:lang w:val="en-US" w:eastAsia="zh-CN"/>
              </w:rPr>
              <w:t>对2万批次免疫细胞药物进行质检和品控的能力，只涉及实验室项目，不涉及生产</w:t>
            </w:r>
          </w:p>
        </w:tc>
        <w:tc>
          <w:tcPr>
            <w:tcW w:w="2047" w:type="dxa"/>
            <w:gridSpan w:val="2"/>
            <w:vAlign w:val="center"/>
          </w:tcPr>
          <w:p w14:paraId="773FD294">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实际生产能力</w:t>
            </w:r>
          </w:p>
        </w:tc>
        <w:tc>
          <w:tcPr>
            <w:tcW w:w="2052" w:type="dxa"/>
            <w:vAlign w:val="center"/>
          </w:tcPr>
          <w:p w14:paraId="0B0D3C60">
            <w:pPr>
              <w:jc w:val="center"/>
              <w:rPr>
                <w:rFonts w:hint="default" w:ascii="Times New Roman" w:hAnsi="Times New Roman" w:eastAsia="宋体" w:cs="Times New Roman"/>
                <w:b/>
                <w:sz w:val="15"/>
                <w:szCs w:val="15"/>
                <w:lang w:val="en-US" w:eastAsia="zh-CN"/>
              </w:rPr>
            </w:pPr>
            <w:r>
              <w:rPr>
                <w:rFonts w:hint="eastAsia" w:ascii="Times New Roman" w:hAnsi="Times New Roman" w:eastAsia="宋体" w:cs="Times New Roman"/>
                <w:b w:val="0"/>
                <w:bCs/>
                <w:sz w:val="15"/>
                <w:szCs w:val="15"/>
                <w:lang w:val="en-US" w:eastAsia="zh-CN"/>
              </w:rPr>
              <w:t>对2万批次免疫细胞药物进行质检和品控的能力，只涉及实验室项目，不涉及生产</w:t>
            </w:r>
          </w:p>
        </w:tc>
        <w:tc>
          <w:tcPr>
            <w:tcW w:w="1646" w:type="dxa"/>
            <w:gridSpan w:val="2"/>
            <w:vAlign w:val="center"/>
          </w:tcPr>
          <w:p w14:paraId="56301754">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环评单位</w:t>
            </w:r>
          </w:p>
        </w:tc>
        <w:tc>
          <w:tcPr>
            <w:tcW w:w="2081" w:type="dxa"/>
            <w:gridSpan w:val="3"/>
            <w:vAlign w:val="center"/>
          </w:tcPr>
          <w:p w14:paraId="408DA52E">
            <w:pPr>
              <w:jc w:val="center"/>
              <w:rPr>
                <w:rFonts w:hint="default" w:ascii="Times New Roman" w:hAnsi="Times New Roman" w:eastAsia="宋体" w:cs="Times New Roman"/>
                <w:b w:val="0"/>
                <w:bCs/>
                <w:sz w:val="15"/>
                <w:szCs w:val="15"/>
                <w:lang w:val="en-US" w:eastAsia="zh-CN"/>
              </w:rPr>
            </w:pPr>
            <w:r>
              <w:rPr>
                <w:rFonts w:hint="eastAsia" w:ascii="Times New Roman" w:hAnsi="Times New Roman" w:eastAsia="宋体" w:cs="Times New Roman"/>
                <w:b w:val="0"/>
                <w:bCs/>
                <w:sz w:val="15"/>
                <w:szCs w:val="15"/>
                <w:lang w:val="en-US" w:eastAsia="zh-CN"/>
              </w:rPr>
              <w:t>北京智郡泰翔环保工程有限责任公司</w:t>
            </w:r>
          </w:p>
        </w:tc>
      </w:tr>
      <w:tr w14:paraId="5AEA49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1" w:hRule="atLeast"/>
          <w:jc w:val="center"/>
        </w:trPr>
        <w:tc>
          <w:tcPr>
            <w:tcW w:w="400" w:type="dxa"/>
            <w:vMerge w:val="continue"/>
            <w:vAlign w:val="center"/>
          </w:tcPr>
          <w:p w14:paraId="74D35ECC">
            <w:pPr>
              <w:rPr>
                <w:rFonts w:hint="default" w:ascii="Times New Roman" w:hAnsi="Times New Roman" w:eastAsia="宋体" w:cs="Times New Roman"/>
                <w:sz w:val="15"/>
                <w:szCs w:val="15"/>
              </w:rPr>
            </w:pPr>
          </w:p>
        </w:tc>
        <w:tc>
          <w:tcPr>
            <w:tcW w:w="1874" w:type="dxa"/>
            <w:gridSpan w:val="2"/>
            <w:vAlign w:val="center"/>
          </w:tcPr>
          <w:p w14:paraId="1AAD1B05">
            <w:pPr>
              <w:jc w:val="center"/>
              <w:rPr>
                <w:rFonts w:hint="default" w:ascii="Times New Roman" w:hAnsi="Times New Roman" w:eastAsia="宋体" w:cs="Times New Roman"/>
                <w:sz w:val="15"/>
                <w:szCs w:val="15"/>
              </w:rPr>
            </w:pPr>
            <w:r>
              <w:rPr>
                <w:rFonts w:hint="default" w:ascii="Times New Roman" w:hAnsi="Times New Roman" w:eastAsia="宋体" w:cs="Times New Roman"/>
                <w:b/>
                <w:sz w:val="15"/>
                <w:szCs w:val="15"/>
              </w:rPr>
              <w:t>环评文件审批机关</w:t>
            </w:r>
          </w:p>
        </w:tc>
        <w:tc>
          <w:tcPr>
            <w:tcW w:w="4629" w:type="dxa"/>
            <w:gridSpan w:val="6"/>
            <w:vAlign w:val="center"/>
          </w:tcPr>
          <w:p w14:paraId="3BB60197">
            <w:pPr>
              <w:jc w:val="center"/>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lang w:val="en-US" w:eastAsia="zh-CN"/>
              </w:rPr>
              <w:t>北京经济技术开发区行政审批局</w:t>
            </w:r>
          </w:p>
        </w:tc>
        <w:tc>
          <w:tcPr>
            <w:tcW w:w="2047" w:type="dxa"/>
            <w:gridSpan w:val="2"/>
            <w:vAlign w:val="center"/>
          </w:tcPr>
          <w:p w14:paraId="0B84233C">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审批文号</w:t>
            </w:r>
          </w:p>
        </w:tc>
        <w:tc>
          <w:tcPr>
            <w:tcW w:w="2052" w:type="dxa"/>
            <w:vAlign w:val="center"/>
          </w:tcPr>
          <w:p w14:paraId="58E38FDA">
            <w:pPr>
              <w:jc w:val="center"/>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lang w:val="en-US" w:eastAsia="zh-CN"/>
              </w:rPr>
              <w:t>京环保审字</w:t>
            </w:r>
            <w:r>
              <w:rPr>
                <w:rFonts w:hint="eastAsia" w:ascii="Times New Roman" w:hAnsi="Times New Roman" w:eastAsia="宋体" w:cs="Times New Roman"/>
                <w:b w:val="0"/>
                <w:bCs/>
                <w:sz w:val="15"/>
                <w:szCs w:val="15"/>
                <w:lang w:val="en-US" w:eastAsia="zh-CN"/>
              </w:rPr>
              <w:t>[2021]0020号</w:t>
            </w:r>
          </w:p>
        </w:tc>
        <w:tc>
          <w:tcPr>
            <w:tcW w:w="1646" w:type="dxa"/>
            <w:gridSpan w:val="2"/>
            <w:vAlign w:val="center"/>
          </w:tcPr>
          <w:p w14:paraId="38CD3181">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环评文件类型</w:t>
            </w:r>
          </w:p>
        </w:tc>
        <w:tc>
          <w:tcPr>
            <w:tcW w:w="2081" w:type="dxa"/>
            <w:gridSpan w:val="3"/>
            <w:vAlign w:val="center"/>
          </w:tcPr>
          <w:p w14:paraId="00CBAA2F">
            <w:pPr>
              <w:jc w:val="center"/>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lang w:val="en-US" w:eastAsia="zh-CN"/>
              </w:rPr>
              <w:t>建设项目环境影响报告表</w:t>
            </w:r>
          </w:p>
        </w:tc>
      </w:tr>
      <w:tr w14:paraId="6F8BB7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1" w:hRule="atLeast"/>
          <w:jc w:val="center"/>
        </w:trPr>
        <w:tc>
          <w:tcPr>
            <w:tcW w:w="400" w:type="dxa"/>
            <w:vMerge w:val="continue"/>
            <w:vAlign w:val="center"/>
          </w:tcPr>
          <w:p w14:paraId="2AB9AA50">
            <w:pPr>
              <w:rPr>
                <w:rFonts w:hint="default" w:ascii="Times New Roman" w:hAnsi="Times New Roman" w:eastAsia="宋体" w:cs="Times New Roman"/>
                <w:sz w:val="15"/>
                <w:szCs w:val="15"/>
              </w:rPr>
            </w:pPr>
          </w:p>
        </w:tc>
        <w:tc>
          <w:tcPr>
            <w:tcW w:w="1874" w:type="dxa"/>
            <w:gridSpan w:val="2"/>
            <w:vAlign w:val="center"/>
          </w:tcPr>
          <w:p w14:paraId="08B2023C">
            <w:pPr>
              <w:jc w:val="center"/>
              <w:rPr>
                <w:rFonts w:hint="default" w:ascii="Times New Roman" w:hAnsi="Times New Roman" w:eastAsia="宋体" w:cs="Times New Roman"/>
                <w:sz w:val="15"/>
                <w:szCs w:val="15"/>
              </w:rPr>
            </w:pPr>
            <w:r>
              <w:rPr>
                <w:rFonts w:hint="default" w:ascii="Times New Roman" w:hAnsi="Times New Roman" w:eastAsia="宋体" w:cs="Times New Roman"/>
                <w:b/>
                <w:sz w:val="15"/>
                <w:szCs w:val="15"/>
              </w:rPr>
              <w:t>开工日期</w:t>
            </w:r>
          </w:p>
        </w:tc>
        <w:tc>
          <w:tcPr>
            <w:tcW w:w="4629" w:type="dxa"/>
            <w:gridSpan w:val="6"/>
            <w:vAlign w:val="center"/>
          </w:tcPr>
          <w:p w14:paraId="3DECFF38">
            <w:pPr>
              <w:jc w:val="center"/>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lang w:val="en-US" w:eastAsia="zh-CN"/>
              </w:rPr>
              <w:t>2025</w:t>
            </w:r>
            <w:r>
              <w:rPr>
                <w:rFonts w:hint="eastAsia" w:ascii="Times New Roman" w:hAnsi="Times New Roman" w:eastAsia="宋体" w:cs="Times New Roman"/>
                <w:b w:val="0"/>
                <w:bCs/>
                <w:sz w:val="15"/>
                <w:szCs w:val="15"/>
                <w:lang w:val="en-US" w:eastAsia="zh-CN"/>
              </w:rPr>
              <w:t>.6.5</w:t>
            </w:r>
          </w:p>
        </w:tc>
        <w:tc>
          <w:tcPr>
            <w:tcW w:w="2047" w:type="dxa"/>
            <w:gridSpan w:val="2"/>
            <w:vAlign w:val="center"/>
          </w:tcPr>
          <w:p w14:paraId="28949F67">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竣工日期</w:t>
            </w:r>
          </w:p>
        </w:tc>
        <w:tc>
          <w:tcPr>
            <w:tcW w:w="2052" w:type="dxa"/>
            <w:vAlign w:val="center"/>
          </w:tcPr>
          <w:p w14:paraId="3561E89E">
            <w:pPr>
              <w:jc w:val="center"/>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lang w:val="en-US" w:eastAsia="zh-CN"/>
              </w:rPr>
              <w:t>2025.</w:t>
            </w:r>
            <w:r>
              <w:rPr>
                <w:rFonts w:hint="eastAsia" w:ascii="Times New Roman" w:hAnsi="Times New Roman" w:eastAsia="宋体" w:cs="Times New Roman"/>
                <w:b w:val="0"/>
                <w:bCs/>
                <w:sz w:val="15"/>
                <w:szCs w:val="15"/>
                <w:lang w:val="en-US" w:eastAsia="zh-CN"/>
              </w:rPr>
              <w:t>8.20</w:t>
            </w:r>
          </w:p>
        </w:tc>
        <w:tc>
          <w:tcPr>
            <w:tcW w:w="1646" w:type="dxa"/>
            <w:gridSpan w:val="2"/>
            <w:vAlign w:val="center"/>
          </w:tcPr>
          <w:p w14:paraId="54293407">
            <w:pPr>
              <w:jc w:val="center"/>
              <w:rPr>
                <w:rFonts w:hint="default" w:ascii="Times New Roman" w:hAnsi="Times New Roman" w:eastAsia="宋体" w:cs="Times New Roman"/>
                <w:b/>
                <w:sz w:val="15"/>
                <w:szCs w:val="15"/>
                <w:highlight w:val="none"/>
                <w:lang w:val="en-US" w:eastAsia="zh-CN"/>
              </w:rPr>
            </w:pPr>
            <w:r>
              <w:rPr>
                <w:rFonts w:hint="default" w:ascii="Times New Roman" w:hAnsi="Times New Roman" w:eastAsia="宋体" w:cs="Times New Roman"/>
                <w:b/>
                <w:sz w:val="15"/>
                <w:szCs w:val="15"/>
                <w:highlight w:val="none"/>
                <w:lang w:val="en-US" w:eastAsia="zh-CN"/>
              </w:rPr>
              <w:t>排污许可证申领时间</w:t>
            </w:r>
          </w:p>
        </w:tc>
        <w:tc>
          <w:tcPr>
            <w:tcW w:w="2081" w:type="dxa"/>
            <w:gridSpan w:val="3"/>
            <w:vAlign w:val="center"/>
          </w:tcPr>
          <w:p w14:paraId="526E67E4">
            <w:pPr>
              <w:jc w:val="center"/>
              <w:rPr>
                <w:rFonts w:hint="default" w:ascii="Times New Roman" w:hAnsi="Times New Roman" w:eastAsia="宋体" w:cs="Times New Roman"/>
                <w:b w:val="0"/>
                <w:bCs/>
                <w:sz w:val="15"/>
                <w:szCs w:val="15"/>
                <w:highlight w:val="none"/>
                <w:lang w:val="en-US" w:eastAsia="zh-CN"/>
              </w:rPr>
            </w:pPr>
            <w:r>
              <w:rPr>
                <w:rFonts w:hint="eastAsia" w:ascii="Times New Roman" w:hAnsi="Times New Roman" w:eastAsia="宋体" w:cs="Times New Roman"/>
                <w:b w:val="0"/>
                <w:bCs/>
                <w:sz w:val="15"/>
                <w:szCs w:val="15"/>
                <w:highlight w:val="none"/>
                <w:lang w:val="en-US" w:eastAsia="zh-CN"/>
              </w:rPr>
              <w:t>2023年4月28日</w:t>
            </w:r>
          </w:p>
        </w:tc>
      </w:tr>
      <w:tr w14:paraId="06E0A0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1" w:hRule="atLeast"/>
          <w:jc w:val="center"/>
        </w:trPr>
        <w:tc>
          <w:tcPr>
            <w:tcW w:w="400" w:type="dxa"/>
            <w:vMerge w:val="continue"/>
            <w:vAlign w:val="center"/>
          </w:tcPr>
          <w:p w14:paraId="5725836A">
            <w:pPr>
              <w:rPr>
                <w:rFonts w:hint="default" w:ascii="Times New Roman" w:hAnsi="Times New Roman" w:eastAsia="宋体" w:cs="Times New Roman"/>
                <w:sz w:val="15"/>
                <w:szCs w:val="15"/>
              </w:rPr>
            </w:pPr>
          </w:p>
        </w:tc>
        <w:tc>
          <w:tcPr>
            <w:tcW w:w="1874" w:type="dxa"/>
            <w:gridSpan w:val="2"/>
            <w:vAlign w:val="center"/>
          </w:tcPr>
          <w:p w14:paraId="50175F13">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环保设施设计单位</w:t>
            </w:r>
          </w:p>
        </w:tc>
        <w:tc>
          <w:tcPr>
            <w:tcW w:w="4629" w:type="dxa"/>
            <w:gridSpan w:val="6"/>
            <w:vAlign w:val="center"/>
          </w:tcPr>
          <w:p w14:paraId="3E8C68F7">
            <w:pPr>
              <w:jc w:val="center"/>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lang w:val="en-US" w:eastAsia="zh-CN"/>
              </w:rPr>
              <w:t>/</w:t>
            </w:r>
          </w:p>
        </w:tc>
        <w:tc>
          <w:tcPr>
            <w:tcW w:w="2047" w:type="dxa"/>
            <w:gridSpan w:val="2"/>
            <w:vAlign w:val="center"/>
          </w:tcPr>
          <w:p w14:paraId="606B3394">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环保设施施工单位</w:t>
            </w:r>
          </w:p>
        </w:tc>
        <w:tc>
          <w:tcPr>
            <w:tcW w:w="2052" w:type="dxa"/>
            <w:vAlign w:val="center"/>
          </w:tcPr>
          <w:p w14:paraId="1392E7B4">
            <w:pPr>
              <w:jc w:val="center"/>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lang w:val="en-US" w:eastAsia="zh-CN"/>
              </w:rPr>
              <w:t>/</w:t>
            </w:r>
          </w:p>
        </w:tc>
        <w:tc>
          <w:tcPr>
            <w:tcW w:w="1646" w:type="dxa"/>
            <w:gridSpan w:val="2"/>
            <w:vAlign w:val="center"/>
          </w:tcPr>
          <w:p w14:paraId="2497BF16">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本工程排污许可证编号</w:t>
            </w:r>
          </w:p>
        </w:tc>
        <w:tc>
          <w:tcPr>
            <w:tcW w:w="2081" w:type="dxa"/>
            <w:gridSpan w:val="3"/>
            <w:vAlign w:val="center"/>
          </w:tcPr>
          <w:p w14:paraId="7A2C7FB7">
            <w:pPr>
              <w:jc w:val="center"/>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rPr>
              <w:t>91110108795950578J003Z</w:t>
            </w:r>
          </w:p>
        </w:tc>
      </w:tr>
      <w:tr w14:paraId="721BAC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75" w:hRule="atLeast"/>
          <w:jc w:val="center"/>
        </w:trPr>
        <w:tc>
          <w:tcPr>
            <w:tcW w:w="400" w:type="dxa"/>
            <w:vMerge w:val="continue"/>
            <w:vAlign w:val="center"/>
          </w:tcPr>
          <w:p w14:paraId="11A5D51E">
            <w:pPr>
              <w:rPr>
                <w:rFonts w:hint="default" w:ascii="Times New Roman" w:hAnsi="Times New Roman" w:eastAsia="宋体" w:cs="Times New Roman"/>
                <w:sz w:val="15"/>
                <w:szCs w:val="15"/>
              </w:rPr>
            </w:pPr>
          </w:p>
        </w:tc>
        <w:tc>
          <w:tcPr>
            <w:tcW w:w="1874" w:type="dxa"/>
            <w:gridSpan w:val="2"/>
            <w:vAlign w:val="center"/>
          </w:tcPr>
          <w:p w14:paraId="6CE56131">
            <w:pPr>
              <w:jc w:val="center"/>
              <w:rPr>
                <w:rFonts w:hint="default" w:ascii="Times New Roman" w:hAnsi="Times New Roman" w:eastAsia="宋体" w:cs="Times New Roman"/>
                <w:sz w:val="15"/>
                <w:szCs w:val="15"/>
              </w:rPr>
            </w:pPr>
            <w:r>
              <w:rPr>
                <w:rFonts w:hint="default" w:ascii="Times New Roman" w:hAnsi="Times New Roman" w:eastAsia="宋体" w:cs="Times New Roman"/>
                <w:b/>
                <w:sz w:val="15"/>
                <w:szCs w:val="15"/>
              </w:rPr>
              <w:t>验收单位</w:t>
            </w:r>
          </w:p>
        </w:tc>
        <w:tc>
          <w:tcPr>
            <w:tcW w:w="4629" w:type="dxa"/>
            <w:gridSpan w:val="6"/>
            <w:vAlign w:val="center"/>
          </w:tcPr>
          <w:p w14:paraId="0E75A6C3">
            <w:pPr>
              <w:jc w:val="center"/>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lang w:val="en-US" w:eastAsia="zh-CN"/>
              </w:rPr>
              <w:t>中谱（北京）测试科技有限公司</w:t>
            </w:r>
          </w:p>
        </w:tc>
        <w:tc>
          <w:tcPr>
            <w:tcW w:w="2047" w:type="dxa"/>
            <w:gridSpan w:val="2"/>
            <w:vAlign w:val="center"/>
          </w:tcPr>
          <w:p w14:paraId="77A1FA01">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环保设施监测单位</w:t>
            </w:r>
          </w:p>
        </w:tc>
        <w:tc>
          <w:tcPr>
            <w:tcW w:w="2052" w:type="dxa"/>
            <w:vAlign w:val="center"/>
          </w:tcPr>
          <w:p w14:paraId="2C751A5D">
            <w:pPr>
              <w:jc w:val="center"/>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lang w:val="en-US" w:eastAsia="zh-CN"/>
              </w:rPr>
              <w:t>中谱（北京）测试科技有限公司</w:t>
            </w:r>
            <w:r>
              <w:rPr>
                <w:rFonts w:hint="eastAsia" w:ascii="Times New Roman" w:hAnsi="Times New Roman" w:eastAsia="宋体" w:cs="Times New Roman"/>
                <w:b w:val="0"/>
                <w:bCs/>
                <w:sz w:val="15"/>
                <w:szCs w:val="15"/>
                <w:lang w:val="en-US" w:eastAsia="zh-CN"/>
              </w:rPr>
              <w:t>、壹检(北京)生物科技有限公司</w:t>
            </w:r>
          </w:p>
        </w:tc>
        <w:tc>
          <w:tcPr>
            <w:tcW w:w="1646" w:type="dxa"/>
            <w:gridSpan w:val="2"/>
            <w:vAlign w:val="center"/>
          </w:tcPr>
          <w:p w14:paraId="5E158659">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验收监测时工况</w:t>
            </w:r>
          </w:p>
        </w:tc>
        <w:tc>
          <w:tcPr>
            <w:tcW w:w="2081" w:type="dxa"/>
            <w:gridSpan w:val="3"/>
            <w:vAlign w:val="center"/>
          </w:tcPr>
          <w:p w14:paraId="1E444587">
            <w:pPr>
              <w:jc w:val="center"/>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lang w:val="en-US" w:eastAsia="zh-CN"/>
              </w:rPr>
              <w:t>/</w:t>
            </w:r>
          </w:p>
        </w:tc>
      </w:tr>
      <w:tr w14:paraId="109441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1" w:hRule="atLeast"/>
          <w:jc w:val="center"/>
        </w:trPr>
        <w:tc>
          <w:tcPr>
            <w:tcW w:w="400" w:type="dxa"/>
            <w:vMerge w:val="continue"/>
            <w:vAlign w:val="center"/>
          </w:tcPr>
          <w:p w14:paraId="2F6B9EE2">
            <w:pPr>
              <w:rPr>
                <w:rFonts w:hint="default" w:ascii="Times New Roman" w:hAnsi="Times New Roman" w:eastAsia="宋体" w:cs="Times New Roman"/>
                <w:sz w:val="15"/>
                <w:szCs w:val="15"/>
              </w:rPr>
            </w:pPr>
          </w:p>
        </w:tc>
        <w:tc>
          <w:tcPr>
            <w:tcW w:w="1874" w:type="dxa"/>
            <w:gridSpan w:val="2"/>
            <w:vAlign w:val="center"/>
          </w:tcPr>
          <w:p w14:paraId="2AFFC84F">
            <w:pPr>
              <w:jc w:val="center"/>
              <w:rPr>
                <w:rFonts w:hint="default" w:ascii="Times New Roman" w:hAnsi="Times New Roman" w:eastAsia="宋体" w:cs="Times New Roman"/>
                <w:sz w:val="15"/>
                <w:szCs w:val="15"/>
              </w:rPr>
            </w:pPr>
            <w:r>
              <w:rPr>
                <w:rFonts w:hint="default" w:ascii="Times New Roman" w:hAnsi="Times New Roman" w:eastAsia="宋体" w:cs="Times New Roman"/>
                <w:b/>
                <w:sz w:val="15"/>
                <w:szCs w:val="15"/>
              </w:rPr>
              <w:t>投资总概算（万元）</w:t>
            </w:r>
          </w:p>
        </w:tc>
        <w:tc>
          <w:tcPr>
            <w:tcW w:w="4629" w:type="dxa"/>
            <w:gridSpan w:val="6"/>
            <w:vAlign w:val="center"/>
          </w:tcPr>
          <w:p w14:paraId="0A3E46F7">
            <w:pPr>
              <w:jc w:val="center"/>
              <w:rPr>
                <w:rFonts w:hint="default" w:ascii="Times New Roman" w:hAnsi="Times New Roman" w:eastAsia="宋体" w:cs="Times New Roman"/>
                <w:b w:val="0"/>
                <w:bCs/>
                <w:sz w:val="15"/>
                <w:szCs w:val="15"/>
                <w:lang w:val="en-US" w:eastAsia="zh-CN"/>
              </w:rPr>
            </w:pPr>
            <w:r>
              <w:rPr>
                <w:rFonts w:hint="eastAsia" w:ascii="Times New Roman" w:hAnsi="Times New Roman" w:eastAsia="宋体" w:cs="Times New Roman"/>
                <w:b w:val="0"/>
                <w:bCs/>
                <w:sz w:val="15"/>
                <w:szCs w:val="15"/>
                <w:lang w:val="en-US" w:eastAsia="zh-CN"/>
              </w:rPr>
              <w:t>2000</w:t>
            </w:r>
          </w:p>
        </w:tc>
        <w:tc>
          <w:tcPr>
            <w:tcW w:w="2047" w:type="dxa"/>
            <w:gridSpan w:val="2"/>
            <w:vAlign w:val="center"/>
          </w:tcPr>
          <w:p w14:paraId="6B3D560F">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环保投资总概算（万元）</w:t>
            </w:r>
          </w:p>
        </w:tc>
        <w:tc>
          <w:tcPr>
            <w:tcW w:w="2052" w:type="dxa"/>
            <w:vAlign w:val="center"/>
          </w:tcPr>
          <w:p w14:paraId="1B9B4FD5">
            <w:pPr>
              <w:jc w:val="center"/>
              <w:rPr>
                <w:rFonts w:hint="default" w:ascii="Times New Roman" w:hAnsi="Times New Roman" w:eastAsia="宋体" w:cs="Times New Roman"/>
                <w:b w:val="0"/>
                <w:bCs/>
                <w:sz w:val="15"/>
                <w:szCs w:val="15"/>
                <w:lang w:val="en-US" w:eastAsia="zh-CN"/>
              </w:rPr>
            </w:pPr>
            <w:r>
              <w:rPr>
                <w:rFonts w:hint="eastAsia" w:ascii="Times New Roman" w:hAnsi="Times New Roman" w:eastAsia="宋体" w:cs="Times New Roman"/>
                <w:b w:val="0"/>
                <w:bCs/>
                <w:sz w:val="15"/>
                <w:szCs w:val="15"/>
                <w:lang w:val="en-US" w:eastAsia="zh-CN"/>
              </w:rPr>
              <w:t>10</w:t>
            </w:r>
          </w:p>
        </w:tc>
        <w:tc>
          <w:tcPr>
            <w:tcW w:w="1646" w:type="dxa"/>
            <w:gridSpan w:val="2"/>
            <w:vAlign w:val="center"/>
          </w:tcPr>
          <w:p w14:paraId="0806E174">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所占比例（%）</w:t>
            </w:r>
          </w:p>
        </w:tc>
        <w:tc>
          <w:tcPr>
            <w:tcW w:w="2081" w:type="dxa"/>
            <w:gridSpan w:val="3"/>
            <w:vAlign w:val="center"/>
          </w:tcPr>
          <w:p w14:paraId="19534FED">
            <w:pPr>
              <w:jc w:val="center"/>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lang w:val="en-US" w:eastAsia="zh-CN"/>
              </w:rPr>
              <w:t>0.</w:t>
            </w:r>
            <w:r>
              <w:rPr>
                <w:rFonts w:hint="eastAsia" w:ascii="Times New Roman" w:hAnsi="Times New Roman" w:eastAsia="宋体" w:cs="Times New Roman"/>
                <w:b w:val="0"/>
                <w:bCs/>
                <w:sz w:val="15"/>
                <w:szCs w:val="15"/>
                <w:lang w:val="en-US" w:eastAsia="zh-CN"/>
              </w:rPr>
              <w:t>5</w:t>
            </w:r>
          </w:p>
        </w:tc>
      </w:tr>
      <w:tr w14:paraId="4DC60F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1" w:hRule="atLeast"/>
          <w:jc w:val="center"/>
        </w:trPr>
        <w:tc>
          <w:tcPr>
            <w:tcW w:w="400" w:type="dxa"/>
            <w:vMerge w:val="continue"/>
            <w:vAlign w:val="center"/>
          </w:tcPr>
          <w:p w14:paraId="0362225D">
            <w:pPr>
              <w:rPr>
                <w:rFonts w:hint="default" w:ascii="Times New Roman" w:hAnsi="Times New Roman" w:eastAsia="宋体" w:cs="Times New Roman"/>
                <w:sz w:val="15"/>
                <w:szCs w:val="15"/>
              </w:rPr>
            </w:pPr>
          </w:p>
        </w:tc>
        <w:tc>
          <w:tcPr>
            <w:tcW w:w="1874" w:type="dxa"/>
            <w:gridSpan w:val="2"/>
            <w:vAlign w:val="center"/>
          </w:tcPr>
          <w:p w14:paraId="5B0C896D">
            <w:pPr>
              <w:jc w:val="center"/>
              <w:rPr>
                <w:rFonts w:hint="default" w:ascii="Times New Roman" w:hAnsi="Times New Roman" w:eastAsia="宋体" w:cs="Times New Roman"/>
                <w:sz w:val="15"/>
                <w:szCs w:val="15"/>
              </w:rPr>
            </w:pPr>
            <w:r>
              <w:rPr>
                <w:rFonts w:hint="default" w:ascii="Times New Roman" w:hAnsi="Times New Roman" w:eastAsia="宋体" w:cs="Times New Roman"/>
                <w:b/>
                <w:sz w:val="15"/>
                <w:szCs w:val="15"/>
              </w:rPr>
              <w:t>实际总投资</w:t>
            </w:r>
          </w:p>
        </w:tc>
        <w:tc>
          <w:tcPr>
            <w:tcW w:w="4629" w:type="dxa"/>
            <w:gridSpan w:val="6"/>
            <w:vAlign w:val="center"/>
          </w:tcPr>
          <w:p w14:paraId="07B8A3C4">
            <w:pPr>
              <w:jc w:val="center"/>
              <w:rPr>
                <w:rFonts w:hint="default" w:ascii="Times New Roman" w:hAnsi="Times New Roman" w:eastAsia="宋体" w:cs="Times New Roman"/>
                <w:b w:val="0"/>
                <w:bCs/>
                <w:sz w:val="15"/>
                <w:szCs w:val="15"/>
                <w:lang w:val="en-US" w:eastAsia="zh-CN"/>
              </w:rPr>
            </w:pPr>
            <w:r>
              <w:rPr>
                <w:rFonts w:hint="eastAsia" w:ascii="Times New Roman" w:hAnsi="Times New Roman" w:eastAsia="宋体" w:cs="Times New Roman"/>
                <w:b w:val="0"/>
                <w:bCs/>
                <w:sz w:val="15"/>
                <w:szCs w:val="15"/>
                <w:lang w:val="en-US" w:eastAsia="zh-CN"/>
              </w:rPr>
              <w:t>2000</w:t>
            </w:r>
          </w:p>
        </w:tc>
        <w:tc>
          <w:tcPr>
            <w:tcW w:w="2047" w:type="dxa"/>
            <w:gridSpan w:val="2"/>
            <w:vAlign w:val="center"/>
          </w:tcPr>
          <w:p w14:paraId="0B872141">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实际环保投资（万元）</w:t>
            </w:r>
          </w:p>
        </w:tc>
        <w:tc>
          <w:tcPr>
            <w:tcW w:w="2052" w:type="dxa"/>
            <w:vAlign w:val="center"/>
          </w:tcPr>
          <w:p w14:paraId="02FD224F">
            <w:pPr>
              <w:jc w:val="center"/>
              <w:rPr>
                <w:rFonts w:hint="default" w:ascii="Times New Roman" w:hAnsi="Times New Roman" w:eastAsia="宋体" w:cs="Times New Roman"/>
                <w:b w:val="0"/>
                <w:bCs/>
                <w:sz w:val="15"/>
                <w:szCs w:val="15"/>
                <w:lang w:val="en-US" w:eastAsia="zh-CN"/>
              </w:rPr>
            </w:pPr>
            <w:r>
              <w:rPr>
                <w:rFonts w:hint="eastAsia" w:ascii="Times New Roman" w:hAnsi="Times New Roman" w:eastAsia="宋体" w:cs="Times New Roman"/>
                <w:b w:val="0"/>
                <w:bCs/>
                <w:sz w:val="15"/>
                <w:szCs w:val="15"/>
                <w:lang w:val="en-US" w:eastAsia="zh-CN"/>
              </w:rPr>
              <w:t>10</w:t>
            </w:r>
          </w:p>
        </w:tc>
        <w:tc>
          <w:tcPr>
            <w:tcW w:w="1646" w:type="dxa"/>
            <w:gridSpan w:val="2"/>
            <w:vAlign w:val="center"/>
          </w:tcPr>
          <w:p w14:paraId="32197206">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所占比例（%）</w:t>
            </w:r>
          </w:p>
        </w:tc>
        <w:tc>
          <w:tcPr>
            <w:tcW w:w="2081" w:type="dxa"/>
            <w:gridSpan w:val="3"/>
            <w:vAlign w:val="center"/>
          </w:tcPr>
          <w:p w14:paraId="302E3B3E">
            <w:pPr>
              <w:jc w:val="center"/>
              <w:rPr>
                <w:rFonts w:hint="default" w:ascii="Times New Roman" w:hAnsi="Times New Roman" w:eastAsia="宋体" w:cs="Times New Roman"/>
                <w:b w:val="0"/>
                <w:bCs/>
                <w:sz w:val="15"/>
                <w:szCs w:val="15"/>
                <w:lang w:val="en-US" w:eastAsia="zh-CN"/>
              </w:rPr>
            </w:pPr>
            <w:r>
              <w:rPr>
                <w:rFonts w:hint="eastAsia" w:ascii="Times New Roman" w:hAnsi="Times New Roman" w:eastAsia="宋体" w:cs="Times New Roman"/>
                <w:b w:val="0"/>
                <w:bCs/>
                <w:sz w:val="15"/>
                <w:szCs w:val="15"/>
                <w:lang w:val="en-US" w:eastAsia="zh-CN"/>
              </w:rPr>
              <w:t>0.5</w:t>
            </w:r>
          </w:p>
        </w:tc>
      </w:tr>
      <w:tr w14:paraId="2377F3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3" w:hRule="atLeast"/>
          <w:jc w:val="center"/>
        </w:trPr>
        <w:tc>
          <w:tcPr>
            <w:tcW w:w="400" w:type="dxa"/>
            <w:vMerge w:val="continue"/>
            <w:vAlign w:val="center"/>
          </w:tcPr>
          <w:p w14:paraId="6229AE79">
            <w:pPr>
              <w:rPr>
                <w:rFonts w:hint="default" w:ascii="Times New Roman" w:hAnsi="Times New Roman" w:eastAsia="宋体" w:cs="Times New Roman"/>
                <w:sz w:val="15"/>
                <w:szCs w:val="15"/>
              </w:rPr>
            </w:pPr>
          </w:p>
        </w:tc>
        <w:tc>
          <w:tcPr>
            <w:tcW w:w="1874" w:type="dxa"/>
            <w:gridSpan w:val="2"/>
            <w:vAlign w:val="center"/>
          </w:tcPr>
          <w:p w14:paraId="6E2439A5">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废水治理（万元）</w:t>
            </w:r>
          </w:p>
        </w:tc>
        <w:tc>
          <w:tcPr>
            <w:tcW w:w="726" w:type="dxa"/>
            <w:vAlign w:val="center"/>
          </w:tcPr>
          <w:p w14:paraId="10B109B4">
            <w:pPr>
              <w:jc w:val="center"/>
              <w:rPr>
                <w:rFonts w:hint="default" w:ascii="Times New Roman" w:hAnsi="Times New Roman" w:eastAsia="宋体" w:cs="Times New Roman"/>
                <w:b/>
                <w:sz w:val="15"/>
                <w:szCs w:val="15"/>
                <w:lang w:val="en-US" w:eastAsia="zh-CN"/>
              </w:rPr>
            </w:pPr>
            <w:r>
              <w:rPr>
                <w:rFonts w:hint="eastAsia" w:ascii="Times New Roman" w:hAnsi="Times New Roman" w:eastAsia="宋体" w:cs="Times New Roman"/>
                <w:b/>
                <w:sz w:val="15"/>
                <w:szCs w:val="15"/>
                <w:lang w:val="en-US" w:eastAsia="zh-CN"/>
              </w:rPr>
              <w:t>0</w:t>
            </w:r>
          </w:p>
        </w:tc>
        <w:tc>
          <w:tcPr>
            <w:tcW w:w="1012" w:type="dxa"/>
            <w:vAlign w:val="center"/>
          </w:tcPr>
          <w:p w14:paraId="091A03CC">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废气治理（万元）</w:t>
            </w:r>
          </w:p>
        </w:tc>
        <w:tc>
          <w:tcPr>
            <w:tcW w:w="979" w:type="dxa"/>
            <w:vAlign w:val="center"/>
          </w:tcPr>
          <w:p w14:paraId="77768CF0">
            <w:pPr>
              <w:jc w:val="center"/>
              <w:rPr>
                <w:rFonts w:hint="default" w:ascii="Times New Roman" w:hAnsi="Times New Roman" w:eastAsia="宋体" w:cs="Times New Roman"/>
                <w:b/>
                <w:sz w:val="15"/>
                <w:szCs w:val="15"/>
                <w:lang w:val="en-US" w:eastAsia="zh-CN"/>
              </w:rPr>
            </w:pPr>
            <w:r>
              <w:rPr>
                <w:rFonts w:hint="eastAsia" w:ascii="Times New Roman" w:hAnsi="Times New Roman" w:eastAsia="宋体" w:cs="Times New Roman"/>
                <w:b w:val="0"/>
                <w:bCs/>
                <w:sz w:val="15"/>
                <w:szCs w:val="15"/>
                <w:lang w:val="en-US" w:eastAsia="zh-CN"/>
              </w:rPr>
              <w:t>7</w:t>
            </w:r>
          </w:p>
        </w:tc>
        <w:tc>
          <w:tcPr>
            <w:tcW w:w="1352" w:type="dxa"/>
            <w:gridSpan w:val="2"/>
            <w:vAlign w:val="center"/>
          </w:tcPr>
          <w:p w14:paraId="168B86AF">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噪声治理（万元）</w:t>
            </w:r>
          </w:p>
        </w:tc>
        <w:tc>
          <w:tcPr>
            <w:tcW w:w="560" w:type="dxa"/>
            <w:vAlign w:val="center"/>
          </w:tcPr>
          <w:p w14:paraId="4930E7A4">
            <w:pPr>
              <w:jc w:val="center"/>
              <w:rPr>
                <w:rFonts w:hint="default" w:ascii="Times New Roman" w:hAnsi="Times New Roman" w:eastAsia="宋体" w:cs="Times New Roman"/>
                <w:b/>
                <w:sz w:val="15"/>
                <w:szCs w:val="15"/>
                <w:lang w:val="en-US" w:eastAsia="zh-CN"/>
              </w:rPr>
            </w:pPr>
            <w:r>
              <w:rPr>
                <w:rFonts w:hint="eastAsia" w:ascii="Times New Roman" w:hAnsi="Times New Roman" w:eastAsia="宋体" w:cs="Times New Roman"/>
                <w:b w:val="0"/>
                <w:bCs/>
                <w:sz w:val="15"/>
                <w:szCs w:val="15"/>
                <w:lang w:val="en-US" w:eastAsia="zh-CN"/>
              </w:rPr>
              <w:t>2</w:t>
            </w:r>
          </w:p>
        </w:tc>
        <w:tc>
          <w:tcPr>
            <w:tcW w:w="2047" w:type="dxa"/>
            <w:gridSpan w:val="2"/>
            <w:vAlign w:val="center"/>
          </w:tcPr>
          <w:p w14:paraId="48BD8DF9">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固体废物治理（万元）</w:t>
            </w:r>
          </w:p>
        </w:tc>
        <w:tc>
          <w:tcPr>
            <w:tcW w:w="2052" w:type="dxa"/>
            <w:vAlign w:val="center"/>
          </w:tcPr>
          <w:p w14:paraId="4B48C105">
            <w:pPr>
              <w:jc w:val="center"/>
              <w:rPr>
                <w:rFonts w:hint="default" w:ascii="Times New Roman" w:hAnsi="Times New Roman" w:eastAsia="宋体" w:cs="Times New Roman"/>
                <w:b/>
                <w:sz w:val="15"/>
                <w:szCs w:val="15"/>
                <w:lang w:val="en-US" w:eastAsia="zh-CN"/>
              </w:rPr>
            </w:pPr>
            <w:r>
              <w:rPr>
                <w:rFonts w:hint="eastAsia" w:ascii="Times New Roman" w:hAnsi="Times New Roman" w:eastAsia="宋体" w:cs="Times New Roman"/>
                <w:b/>
                <w:sz w:val="15"/>
                <w:szCs w:val="15"/>
                <w:lang w:val="en-US" w:eastAsia="zh-CN"/>
              </w:rPr>
              <w:t>1</w:t>
            </w:r>
          </w:p>
        </w:tc>
        <w:tc>
          <w:tcPr>
            <w:tcW w:w="1646" w:type="dxa"/>
            <w:gridSpan w:val="2"/>
            <w:vAlign w:val="center"/>
          </w:tcPr>
          <w:p w14:paraId="228099F5">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绿化及生态（万元）</w:t>
            </w:r>
          </w:p>
        </w:tc>
        <w:tc>
          <w:tcPr>
            <w:tcW w:w="240" w:type="dxa"/>
            <w:vAlign w:val="center"/>
          </w:tcPr>
          <w:p w14:paraId="00E4F0DD">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w:t>
            </w:r>
          </w:p>
        </w:tc>
        <w:tc>
          <w:tcPr>
            <w:tcW w:w="931" w:type="dxa"/>
            <w:vAlign w:val="center"/>
          </w:tcPr>
          <w:p w14:paraId="40B1E782">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其他（万元）</w:t>
            </w:r>
          </w:p>
        </w:tc>
        <w:tc>
          <w:tcPr>
            <w:tcW w:w="910" w:type="dxa"/>
            <w:vAlign w:val="center"/>
          </w:tcPr>
          <w:p w14:paraId="0DB7157B">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w:t>
            </w:r>
          </w:p>
        </w:tc>
      </w:tr>
      <w:tr w14:paraId="368F1C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400" w:type="dxa"/>
            <w:vMerge w:val="continue"/>
            <w:vAlign w:val="center"/>
          </w:tcPr>
          <w:p w14:paraId="08671B08">
            <w:pPr>
              <w:rPr>
                <w:rFonts w:hint="default" w:ascii="Times New Roman" w:hAnsi="Times New Roman" w:eastAsia="宋体" w:cs="Times New Roman"/>
                <w:sz w:val="15"/>
                <w:szCs w:val="15"/>
              </w:rPr>
            </w:pPr>
          </w:p>
        </w:tc>
        <w:tc>
          <w:tcPr>
            <w:tcW w:w="1874" w:type="dxa"/>
            <w:gridSpan w:val="2"/>
            <w:vAlign w:val="center"/>
          </w:tcPr>
          <w:p w14:paraId="5B100E40">
            <w:pPr>
              <w:jc w:val="center"/>
              <w:rPr>
                <w:rFonts w:hint="default" w:ascii="Times New Roman" w:hAnsi="Times New Roman" w:eastAsia="宋体" w:cs="Times New Roman"/>
                <w:sz w:val="15"/>
                <w:szCs w:val="15"/>
              </w:rPr>
            </w:pPr>
            <w:r>
              <w:rPr>
                <w:rFonts w:hint="default" w:ascii="Times New Roman" w:hAnsi="Times New Roman" w:eastAsia="宋体" w:cs="Times New Roman"/>
                <w:b/>
                <w:sz w:val="15"/>
                <w:szCs w:val="15"/>
              </w:rPr>
              <w:t>新增废水处理设施能力</w:t>
            </w:r>
          </w:p>
        </w:tc>
        <w:tc>
          <w:tcPr>
            <w:tcW w:w="4629" w:type="dxa"/>
            <w:gridSpan w:val="6"/>
            <w:vAlign w:val="center"/>
          </w:tcPr>
          <w:p w14:paraId="78047083">
            <w:pPr>
              <w:jc w:val="center"/>
              <w:rPr>
                <w:rFonts w:hint="default" w:ascii="Times New Roman" w:hAnsi="Times New Roman" w:eastAsia="宋体" w:cs="Times New Roman"/>
                <w:b/>
                <w:sz w:val="15"/>
                <w:szCs w:val="15"/>
                <w:lang w:val="en-US" w:eastAsia="zh-CN"/>
              </w:rPr>
            </w:pPr>
            <w:r>
              <w:rPr>
                <w:rFonts w:hint="eastAsia" w:ascii="Times New Roman" w:hAnsi="Times New Roman" w:eastAsia="宋体" w:cs="Times New Roman"/>
                <w:b/>
                <w:sz w:val="15"/>
                <w:szCs w:val="15"/>
                <w:lang w:val="en-US" w:eastAsia="zh-CN"/>
              </w:rPr>
              <w:t>/</w:t>
            </w:r>
          </w:p>
        </w:tc>
        <w:tc>
          <w:tcPr>
            <w:tcW w:w="2047" w:type="dxa"/>
            <w:gridSpan w:val="2"/>
            <w:vAlign w:val="center"/>
          </w:tcPr>
          <w:p w14:paraId="3AA48B09">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新增废气处理设施能力</w:t>
            </w:r>
          </w:p>
        </w:tc>
        <w:tc>
          <w:tcPr>
            <w:tcW w:w="2052" w:type="dxa"/>
            <w:vAlign w:val="center"/>
          </w:tcPr>
          <w:p w14:paraId="43EF850E">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w:t>
            </w:r>
          </w:p>
        </w:tc>
        <w:tc>
          <w:tcPr>
            <w:tcW w:w="1646" w:type="dxa"/>
            <w:gridSpan w:val="2"/>
            <w:vAlign w:val="center"/>
          </w:tcPr>
          <w:p w14:paraId="00B70E35">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年平均工作时</w:t>
            </w:r>
          </w:p>
        </w:tc>
        <w:tc>
          <w:tcPr>
            <w:tcW w:w="2081" w:type="dxa"/>
            <w:gridSpan w:val="3"/>
            <w:vAlign w:val="center"/>
          </w:tcPr>
          <w:p w14:paraId="2C0E45AD">
            <w:pPr>
              <w:jc w:val="center"/>
              <w:rPr>
                <w:rFonts w:hint="default" w:ascii="Times New Roman" w:hAnsi="Times New Roman" w:eastAsia="宋体" w:cs="Times New Roman"/>
                <w:b w:val="0"/>
                <w:bCs/>
                <w:sz w:val="15"/>
                <w:szCs w:val="15"/>
                <w:lang w:val="en-US" w:eastAsia="zh-CN"/>
              </w:rPr>
            </w:pPr>
            <w:r>
              <w:rPr>
                <w:rFonts w:hint="eastAsia" w:ascii="Times New Roman" w:hAnsi="Times New Roman" w:eastAsia="宋体" w:cs="Times New Roman"/>
                <w:b w:val="0"/>
                <w:bCs/>
                <w:sz w:val="15"/>
                <w:szCs w:val="15"/>
                <w:lang w:val="en-US" w:eastAsia="zh-CN"/>
              </w:rPr>
              <w:t>2800</w:t>
            </w:r>
          </w:p>
        </w:tc>
      </w:tr>
      <w:tr w14:paraId="35000B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1" w:hRule="atLeast"/>
          <w:jc w:val="center"/>
        </w:trPr>
        <w:tc>
          <w:tcPr>
            <w:tcW w:w="2274" w:type="dxa"/>
            <w:gridSpan w:val="3"/>
            <w:vAlign w:val="center"/>
          </w:tcPr>
          <w:p w14:paraId="4619E34E">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运营单位</w:t>
            </w:r>
          </w:p>
        </w:tc>
        <w:tc>
          <w:tcPr>
            <w:tcW w:w="3683" w:type="dxa"/>
            <w:gridSpan w:val="4"/>
            <w:vAlign w:val="center"/>
          </w:tcPr>
          <w:p w14:paraId="1EF4CB1B">
            <w:pPr>
              <w:jc w:val="center"/>
              <w:rPr>
                <w:rFonts w:hint="default" w:ascii="Times New Roman" w:hAnsi="Times New Roman" w:eastAsia="宋体" w:cs="Times New Roman"/>
                <w:b/>
                <w:sz w:val="15"/>
                <w:szCs w:val="15"/>
                <w:lang w:val="en-US" w:eastAsia="zh-CN"/>
              </w:rPr>
            </w:pPr>
            <w:r>
              <w:rPr>
                <w:rFonts w:hint="eastAsia" w:ascii="Times New Roman" w:hAnsi="Times New Roman" w:eastAsia="宋体" w:cs="Times New Roman"/>
                <w:b w:val="0"/>
                <w:bCs/>
                <w:sz w:val="15"/>
                <w:szCs w:val="15"/>
                <w:lang w:val="en-US" w:eastAsia="zh-CN"/>
              </w:rPr>
              <w:t>北京永泰生物制品有限公司</w:t>
            </w:r>
          </w:p>
        </w:tc>
        <w:tc>
          <w:tcPr>
            <w:tcW w:w="2993" w:type="dxa"/>
            <w:gridSpan w:val="4"/>
            <w:vAlign w:val="center"/>
          </w:tcPr>
          <w:p w14:paraId="0F5335C0">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运营单位社会统一信用代码（或组织机构代码）</w:t>
            </w:r>
          </w:p>
        </w:tc>
        <w:tc>
          <w:tcPr>
            <w:tcW w:w="2052" w:type="dxa"/>
            <w:vAlign w:val="center"/>
          </w:tcPr>
          <w:p w14:paraId="66C68979">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val="0"/>
                <w:bCs/>
                <w:sz w:val="15"/>
                <w:szCs w:val="15"/>
                <w:lang w:val="en-US" w:eastAsia="zh-CN"/>
              </w:rPr>
              <w:t>91110108795950578J</w:t>
            </w:r>
          </w:p>
        </w:tc>
        <w:tc>
          <w:tcPr>
            <w:tcW w:w="1646" w:type="dxa"/>
            <w:gridSpan w:val="2"/>
            <w:vAlign w:val="center"/>
          </w:tcPr>
          <w:p w14:paraId="385A9C2B">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验收时间</w:t>
            </w:r>
          </w:p>
        </w:tc>
        <w:tc>
          <w:tcPr>
            <w:tcW w:w="2081" w:type="dxa"/>
            <w:gridSpan w:val="3"/>
            <w:vAlign w:val="center"/>
          </w:tcPr>
          <w:p w14:paraId="4D46C99E">
            <w:pPr>
              <w:jc w:val="center"/>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lang w:val="en-US" w:eastAsia="zh-CN"/>
              </w:rPr>
              <w:t>2025.</w:t>
            </w:r>
            <w:r>
              <w:rPr>
                <w:rFonts w:hint="eastAsia" w:ascii="Times New Roman" w:hAnsi="Times New Roman" w:eastAsia="宋体" w:cs="Times New Roman"/>
                <w:b w:val="0"/>
                <w:bCs/>
                <w:sz w:val="15"/>
                <w:szCs w:val="15"/>
                <w:lang w:val="en-US" w:eastAsia="zh-CN"/>
              </w:rPr>
              <w:t>11</w:t>
            </w:r>
          </w:p>
        </w:tc>
      </w:tr>
      <w:tr w14:paraId="6818E9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2" w:hRule="atLeast"/>
          <w:jc w:val="center"/>
        </w:trPr>
        <w:tc>
          <w:tcPr>
            <w:tcW w:w="684" w:type="dxa"/>
            <w:gridSpan w:val="2"/>
            <w:vMerge w:val="restart"/>
            <w:vAlign w:val="center"/>
          </w:tcPr>
          <w:p w14:paraId="6E104379">
            <w:pPr>
              <w:rPr>
                <w:rFonts w:hint="default" w:ascii="Times New Roman" w:hAnsi="Times New Roman" w:eastAsia="宋体" w:cs="Times New Roman"/>
                <w:b/>
                <w:spacing w:val="20"/>
                <w:sz w:val="15"/>
                <w:szCs w:val="15"/>
              </w:rPr>
            </w:pPr>
            <w:r>
              <w:rPr>
                <w:rFonts w:hint="default" w:ascii="Times New Roman" w:hAnsi="Times New Roman" w:eastAsia="宋体" w:cs="Times New Roman"/>
                <w:b/>
                <w:spacing w:val="20"/>
                <w:sz w:val="15"/>
                <w:szCs w:val="15"/>
              </w:rPr>
              <w:t>污染</w:t>
            </w:r>
          </w:p>
          <w:p w14:paraId="1F934403">
            <w:pPr>
              <w:rPr>
                <w:rFonts w:hint="default" w:ascii="Times New Roman" w:hAnsi="Times New Roman" w:eastAsia="宋体" w:cs="Times New Roman"/>
                <w:b/>
                <w:spacing w:val="20"/>
                <w:sz w:val="15"/>
                <w:szCs w:val="15"/>
              </w:rPr>
            </w:pPr>
            <w:r>
              <w:rPr>
                <w:rFonts w:hint="default" w:ascii="Times New Roman" w:hAnsi="Times New Roman" w:eastAsia="宋体" w:cs="Times New Roman"/>
                <w:b/>
                <w:spacing w:val="20"/>
                <w:sz w:val="15"/>
                <w:szCs w:val="15"/>
              </w:rPr>
              <w:t>物排</w:t>
            </w:r>
          </w:p>
          <w:p w14:paraId="7359AA2C">
            <w:pPr>
              <w:rPr>
                <w:rFonts w:hint="default" w:ascii="Times New Roman" w:hAnsi="Times New Roman" w:eastAsia="宋体" w:cs="Times New Roman"/>
                <w:b/>
                <w:spacing w:val="20"/>
                <w:sz w:val="15"/>
                <w:szCs w:val="15"/>
              </w:rPr>
            </w:pPr>
            <w:r>
              <w:rPr>
                <w:rFonts w:hint="default" w:ascii="Times New Roman" w:hAnsi="Times New Roman" w:eastAsia="宋体" w:cs="Times New Roman"/>
                <w:b/>
                <w:spacing w:val="20"/>
                <w:sz w:val="15"/>
                <w:szCs w:val="15"/>
              </w:rPr>
              <w:t>放达</w:t>
            </w:r>
          </w:p>
          <w:p w14:paraId="69839AFA">
            <w:pPr>
              <w:rPr>
                <w:rFonts w:hint="default" w:ascii="Times New Roman" w:hAnsi="Times New Roman" w:eastAsia="宋体" w:cs="Times New Roman"/>
                <w:b/>
                <w:spacing w:val="20"/>
                <w:sz w:val="15"/>
                <w:szCs w:val="15"/>
              </w:rPr>
            </w:pPr>
            <w:r>
              <w:rPr>
                <w:rFonts w:hint="default" w:ascii="Times New Roman" w:hAnsi="Times New Roman" w:eastAsia="宋体" w:cs="Times New Roman"/>
                <w:b/>
                <w:spacing w:val="20"/>
                <w:sz w:val="15"/>
                <w:szCs w:val="15"/>
              </w:rPr>
              <w:t>标与</w:t>
            </w:r>
          </w:p>
          <w:p w14:paraId="4510C3CB">
            <w:pPr>
              <w:rPr>
                <w:rFonts w:hint="default" w:ascii="Times New Roman" w:hAnsi="Times New Roman" w:eastAsia="宋体" w:cs="Times New Roman"/>
                <w:b/>
                <w:spacing w:val="20"/>
                <w:sz w:val="15"/>
                <w:szCs w:val="15"/>
              </w:rPr>
            </w:pPr>
            <w:r>
              <w:rPr>
                <w:rFonts w:hint="default" w:ascii="Times New Roman" w:hAnsi="Times New Roman" w:eastAsia="宋体" w:cs="Times New Roman"/>
                <w:b/>
                <w:spacing w:val="20"/>
                <w:sz w:val="15"/>
                <w:szCs w:val="15"/>
              </w:rPr>
              <w:t>总量</w:t>
            </w:r>
          </w:p>
          <w:p w14:paraId="52E20A45">
            <w:pPr>
              <w:rPr>
                <w:rFonts w:hint="default" w:ascii="Times New Roman" w:hAnsi="Times New Roman" w:eastAsia="宋体" w:cs="Times New Roman"/>
                <w:b/>
                <w:spacing w:val="20"/>
                <w:sz w:val="15"/>
                <w:szCs w:val="15"/>
              </w:rPr>
            </w:pPr>
            <w:r>
              <w:rPr>
                <w:rFonts w:hint="default" w:ascii="Times New Roman" w:hAnsi="Times New Roman" w:eastAsia="宋体" w:cs="Times New Roman"/>
                <w:b/>
                <w:spacing w:val="20"/>
                <w:sz w:val="15"/>
                <w:szCs w:val="15"/>
              </w:rPr>
              <w:t>控制（工</w:t>
            </w:r>
          </w:p>
          <w:p w14:paraId="26C6CBC4">
            <w:pPr>
              <w:rPr>
                <w:rFonts w:hint="default" w:ascii="Times New Roman" w:hAnsi="Times New Roman" w:eastAsia="宋体" w:cs="Times New Roman"/>
                <w:b/>
                <w:spacing w:val="20"/>
                <w:sz w:val="15"/>
                <w:szCs w:val="15"/>
              </w:rPr>
            </w:pPr>
            <w:r>
              <w:rPr>
                <w:rFonts w:hint="default" w:ascii="Times New Roman" w:hAnsi="Times New Roman" w:eastAsia="宋体" w:cs="Times New Roman"/>
                <w:b/>
                <w:spacing w:val="20"/>
                <w:sz w:val="15"/>
                <w:szCs w:val="15"/>
              </w:rPr>
              <w:t>业建</w:t>
            </w:r>
          </w:p>
          <w:p w14:paraId="56EB0AED">
            <w:pPr>
              <w:rPr>
                <w:rFonts w:hint="default" w:ascii="Times New Roman" w:hAnsi="Times New Roman" w:eastAsia="宋体" w:cs="Times New Roman"/>
                <w:b/>
                <w:spacing w:val="20"/>
                <w:sz w:val="15"/>
                <w:szCs w:val="15"/>
              </w:rPr>
            </w:pPr>
            <w:r>
              <w:rPr>
                <w:rFonts w:hint="default" w:ascii="Times New Roman" w:hAnsi="Times New Roman" w:eastAsia="宋体" w:cs="Times New Roman"/>
                <w:b/>
                <w:spacing w:val="20"/>
                <w:sz w:val="15"/>
                <w:szCs w:val="15"/>
              </w:rPr>
              <w:t>设项</w:t>
            </w:r>
          </w:p>
          <w:p w14:paraId="19731668">
            <w:pPr>
              <w:rPr>
                <w:rFonts w:hint="default" w:ascii="Times New Roman" w:hAnsi="Times New Roman" w:eastAsia="宋体" w:cs="Times New Roman"/>
                <w:b/>
                <w:spacing w:val="20"/>
                <w:sz w:val="15"/>
                <w:szCs w:val="15"/>
              </w:rPr>
            </w:pPr>
            <w:r>
              <w:rPr>
                <w:rFonts w:hint="default" w:ascii="Times New Roman" w:hAnsi="Times New Roman" w:eastAsia="宋体" w:cs="Times New Roman"/>
                <w:b/>
                <w:spacing w:val="20"/>
                <w:sz w:val="15"/>
                <w:szCs w:val="15"/>
              </w:rPr>
              <w:t>目详填）</w:t>
            </w:r>
          </w:p>
        </w:tc>
        <w:tc>
          <w:tcPr>
            <w:tcW w:w="1590" w:type="dxa"/>
            <w:vAlign w:val="center"/>
          </w:tcPr>
          <w:p w14:paraId="4EB728D5">
            <w:pPr>
              <w:jc w:val="center"/>
              <w:rPr>
                <w:rFonts w:hint="default" w:ascii="Times New Roman" w:hAnsi="Times New Roman" w:eastAsia="宋体" w:cs="Times New Roman"/>
                <w:sz w:val="15"/>
                <w:szCs w:val="15"/>
              </w:rPr>
            </w:pPr>
            <w:r>
              <w:rPr>
                <w:rFonts w:hint="default" w:ascii="Times New Roman" w:hAnsi="Times New Roman" w:eastAsia="宋体" w:cs="Times New Roman"/>
                <w:b/>
                <w:sz w:val="15"/>
                <w:szCs w:val="15"/>
              </w:rPr>
              <w:t>污染物</w:t>
            </w:r>
          </w:p>
        </w:tc>
        <w:tc>
          <w:tcPr>
            <w:tcW w:w="726" w:type="dxa"/>
            <w:vAlign w:val="center"/>
          </w:tcPr>
          <w:p w14:paraId="65192C87">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原有排</w:t>
            </w:r>
          </w:p>
          <w:p w14:paraId="157D61BF">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放量(1)</w:t>
            </w:r>
          </w:p>
        </w:tc>
        <w:tc>
          <w:tcPr>
            <w:tcW w:w="1012" w:type="dxa"/>
            <w:vAlign w:val="center"/>
          </w:tcPr>
          <w:p w14:paraId="1DCCB213">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本期工程实际排放浓度(2)</w:t>
            </w:r>
          </w:p>
        </w:tc>
        <w:tc>
          <w:tcPr>
            <w:tcW w:w="979" w:type="dxa"/>
            <w:vAlign w:val="center"/>
          </w:tcPr>
          <w:p w14:paraId="05CD9546">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本期工程允许排放浓度(3)</w:t>
            </w:r>
          </w:p>
        </w:tc>
        <w:tc>
          <w:tcPr>
            <w:tcW w:w="966" w:type="dxa"/>
            <w:vAlign w:val="center"/>
          </w:tcPr>
          <w:p w14:paraId="0DCAB5FA">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本期工程产生量(4)</w:t>
            </w:r>
          </w:p>
        </w:tc>
        <w:tc>
          <w:tcPr>
            <w:tcW w:w="946" w:type="dxa"/>
            <w:gridSpan w:val="2"/>
            <w:vAlign w:val="center"/>
          </w:tcPr>
          <w:p w14:paraId="7B0EB8D9">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本期工程自身削减量(5)</w:t>
            </w:r>
          </w:p>
        </w:tc>
        <w:tc>
          <w:tcPr>
            <w:tcW w:w="936" w:type="dxa"/>
            <w:vAlign w:val="center"/>
          </w:tcPr>
          <w:p w14:paraId="243382EE">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本期工程实际排放量(6)</w:t>
            </w:r>
          </w:p>
        </w:tc>
        <w:tc>
          <w:tcPr>
            <w:tcW w:w="1111" w:type="dxa"/>
            <w:vAlign w:val="center"/>
          </w:tcPr>
          <w:p w14:paraId="3E15FEEA">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本期工程核定排放总量(7)</w:t>
            </w:r>
          </w:p>
        </w:tc>
        <w:tc>
          <w:tcPr>
            <w:tcW w:w="2052" w:type="dxa"/>
            <w:vAlign w:val="center"/>
          </w:tcPr>
          <w:p w14:paraId="7FD3DD63">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本期工程“以新带老”削减量(8)</w:t>
            </w:r>
          </w:p>
        </w:tc>
        <w:tc>
          <w:tcPr>
            <w:tcW w:w="964" w:type="dxa"/>
            <w:vAlign w:val="center"/>
          </w:tcPr>
          <w:p w14:paraId="2D42961D">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全厂实际排放总量(9)</w:t>
            </w:r>
          </w:p>
        </w:tc>
        <w:tc>
          <w:tcPr>
            <w:tcW w:w="922" w:type="dxa"/>
            <w:gridSpan w:val="2"/>
            <w:vAlign w:val="center"/>
          </w:tcPr>
          <w:p w14:paraId="3631EF13">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全厂核定排放总量(10)</w:t>
            </w:r>
          </w:p>
        </w:tc>
        <w:tc>
          <w:tcPr>
            <w:tcW w:w="931" w:type="dxa"/>
            <w:vAlign w:val="center"/>
          </w:tcPr>
          <w:p w14:paraId="6E9DC0E6">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区域平衡替代削减量(11)</w:t>
            </w:r>
          </w:p>
        </w:tc>
        <w:tc>
          <w:tcPr>
            <w:tcW w:w="910" w:type="dxa"/>
            <w:vAlign w:val="center"/>
          </w:tcPr>
          <w:p w14:paraId="1750E468">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lang w:val="en-US" w:eastAsia="zh-CN"/>
              </w:rPr>
              <w:t>排放增减量(12)</w:t>
            </w:r>
          </w:p>
        </w:tc>
      </w:tr>
      <w:tr w14:paraId="38EAB8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1" w:hRule="atLeast"/>
          <w:jc w:val="center"/>
        </w:trPr>
        <w:tc>
          <w:tcPr>
            <w:tcW w:w="684" w:type="dxa"/>
            <w:gridSpan w:val="2"/>
            <w:vMerge w:val="continue"/>
            <w:vAlign w:val="center"/>
          </w:tcPr>
          <w:p w14:paraId="79C5C173">
            <w:pPr>
              <w:rPr>
                <w:rFonts w:hint="default" w:ascii="Times New Roman" w:hAnsi="Times New Roman" w:eastAsia="宋体" w:cs="Times New Roman"/>
                <w:sz w:val="15"/>
                <w:szCs w:val="15"/>
              </w:rPr>
            </w:pPr>
          </w:p>
        </w:tc>
        <w:tc>
          <w:tcPr>
            <w:tcW w:w="1590" w:type="dxa"/>
            <w:vAlign w:val="center"/>
          </w:tcPr>
          <w:p w14:paraId="48B50353">
            <w:pPr>
              <w:jc w:val="center"/>
              <w:rPr>
                <w:rFonts w:hint="default" w:ascii="Times New Roman" w:hAnsi="Times New Roman" w:eastAsia="宋体" w:cs="Times New Roman"/>
                <w:sz w:val="15"/>
                <w:szCs w:val="15"/>
              </w:rPr>
            </w:pPr>
            <w:r>
              <w:rPr>
                <w:rFonts w:hint="default" w:ascii="Times New Roman" w:hAnsi="Times New Roman" w:eastAsia="宋体" w:cs="Times New Roman"/>
                <w:b/>
                <w:sz w:val="15"/>
                <w:szCs w:val="15"/>
              </w:rPr>
              <w:t>废水</w:t>
            </w:r>
          </w:p>
        </w:tc>
        <w:tc>
          <w:tcPr>
            <w:tcW w:w="726" w:type="dxa"/>
            <w:vAlign w:val="center"/>
          </w:tcPr>
          <w:p w14:paraId="3C43E910">
            <w:pPr>
              <w:jc w:val="center"/>
              <w:rPr>
                <w:rFonts w:hint="default" w:ascii="Times New Roman" w:hAnsi="Times New Roman" w:eastAsia="宋体" w:cs="Times New Roman"/>
                <w:b w:val="0"/>
                <w:bCs w:val="0"/>
                <w:sz w:val="15"/>
                <w:szCs w:val="15"/>
                <w:highlight w:val="none"/>
                <w:lang w:val="en-US" w:eastAsia="zh-CN"/>
              </w:rPr>
            </w:pPr>
            <w:r>
              <w:rPr>
                <w:rFonts w:hint="eastAsia" w:ascii="Times New Roman" w:hAnsi="Times New Roman" w:eastAsia="宋体" w:cs="Times New Roman"/>
                <w:b w:val="0"/>
                <w:bCs w:val="0"/>
                <w:sz w:val="15"/>
                <w:szCs w:val="15"/>
                <w:highlight w:val="none"/>
                <w:lang w:val="en-US" w:eastAsia="zh-CN"/>
              </w:rPr>
              <w:t>0.2437</w:t>
            </w:r>
          </w:p>
        </w:tc>
        <w:tc>
          <w:tcPr>
            <w:tcW w:w="1012" w:type="dxa"/>
            <w:vAlign w:val="center"/>
          </w:tcPr>
          <w:p w14:paraId="4B358647">
            <w:pPr>
              <w:jc w:val="center"/>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sz w:val="15"/>
                <w:szCs w:val="15"/>
                <w:highlight w:val="none"/>
                <w:lang w:val="en-US" w:eastAsia="zh-CN"/>
              </w:rPr>
              <w:t>－</w:t>
            </w:r>
          </w:p>
        </w:tc>
        <w:tc>
          <w:tcPr>
            <w:tcW w:w="979" w:type="dxa"/>
            <w:vAlign w:val="center"/>
          </w:tcPr>
          <w:p w14:paraId="28698A30">
            <w:pPr>
              <w:jc w:val="center"/>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sz w:val="15"/>
                <w:szCs w:val="15"/>
                <w:highlight w:val="none"/>
                <w:lang w:val="en-US" w:eastAsia="zh-CN"/>
              </w:rPr>
              <w:t>－</w:t>
            </w:r>
          </w:p>
        </w:tc>
        <w:tc>
          <w:tcPr>
            <w:tcW w:w="966" w:type="dxa"/>
            <w:vAlign w:val="center"/>
          </w:tcPr>
          <w:p w14:paraId="4C7B4D21">
            <w:pPr>
              <w:jc w:val="center"/>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sz w:val="15"/>
                <w:szCs w:val="15"/>
                <w:highlight w:val="none"/>
                <w:lang w:val="en-US" w:eastAsia="zh-CN"/>
              </w:rPr>
              <w:t>－</w:t>
            </w:r>
          </w:p>
        </w:tc>
        <w:tc>
          <w:tcPr>
            <w:tcW w:w="946" w:type="dxa"/>
            <w:gridSpan w:val="2"/>
            <w:vAlign w:val="center"/>
          </w:tcPr>
          <w:p w14:paraId="103EC911">
            <w:pPr>
              <w:jc w:val="center"/>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sz w:val="15"/>
                <w:szCs w:val="15"/>
                <w:highlight w:val="none"/>
                <w:lang w:val="en-US" w:eastAsia="zh-CN"/>
              </w:rPr>
              <w:t>－</w:t>
            </w:r>
          </w:p>
        </w:tc>
        <w:tc>
          <w:tcPr>
            <w:tcW w:w="936" w:type="dxa"/>
            <w:vAlign w:val="center"/>
          </w:tcPr>
          <w:p w14:paraId="22F0EA97">
            <w:pPr>
              <w:jc w:val="center"/>
              <w:rPr>
                <w:rFonts w:hint="default" w:ascii="Times New Roman" w:hAnsi="Times New Roman" w:eastAsia="宋体" w:cs="Times New Roman"/>
                <w:b w:val="0"/>
                <w:bCs w:val="0"/>
                <w:sz w:val="15"/>
                <w:szCs w:val="15"/>
                <w:highlight w:val="none"/>
                <w:lang w:val="en-US" w:eastAsia="zh-CN"/>
              </w:rPr>
            </w:pPr>
            <w:r>
              <w:rPr>
                <w:rFonts w:hint="eastAsia" w:ascii="Times New Roman" w:hAnsi="Times New Roman" w:eastAsia="宋体" w:cs="Times New Roman"/>
                <w:b w:val="0"/>
                <w:bCs w:val="0"/>
                <w:sz w:val="15"/>
                <w:szCs w:val="15"/>
                <w:highlight w:val="none"/>
                <w:lang w:val="en-US" w:eastAsia="zh-CN"/>
              </w:rPr>
              <w:t>0.07899</w:t>
            </w:r>
          </w:p>
        </w:tc>
        <w:tc>
          <w:tcPr>
            <w:tcW w:w="1111" w:type="dxa"/>
            <w:vAlign w:val="center"/>
          </w:tcPr>
          <w:p w14:paraId="60FE8F06">
            <w:pPr>
              <w:jc w:val="center"/>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sz w:val="15"/>
                <w:szCs w:val="15"/>
                <w:highlight w:val="none"/>
                <w:lang w:val="en-US" w:eastAsia="zh-CN"/>
              </w:rPr>
              <w:t>－</w:t>
            </w:r>
          </w:p>
        </w:tc>
        <w:tc>
          <w:tcPr>
            <w:tcW w:w="2052" w:type="dxa"/>
            <w:vAlign w:val="center"/>
          </w:tcPr>
          <w:p w14:paraId="36EF62EC">
            <w:pPr>
              <w:jc w:val="center"/>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sz w:val="15"/>
                <w:szCs w:val="15"/>
                <w:highlight w:val="none"/>
                <w:lang w:val="en-US" w:eastAsia="zh-CN"/>
              </w:rPr>
              <w:t>－</w:t>
            </w:r>
          </w:p>
        </w:tc>
        <w:tc>
          <w:tcPr>
            <w:tcW w:w="964" w:type="dxa"/>
            <w:vAlign w:val="center"/>
          </w:tcPr>
          <w:p w14:paraId="610E0C36">
            <w:pPr>
              <w:jc w:val="center"/>
              <w:rPr>
                <w:rFonts w:hint="default" w:ascii="Times New Roman" w:hAnsi="Times New Roman" w:eastAsia="宋体" w:cs="Times New Roman"/>
                <w:b w:val="0"/>
                <w:bCs w:val="0"/>
                <w:sz w:val="15"/>
                <w:szCs w:val="15"/>
                <w:highlight w:val="none"/>
                <w:lang w:val="en-US" w:eastAsia="zh-CN"/>
              </w:rPr>
            </w:pPr>
            <w:r>
              <w:rPr>
                <w:rFonts w:hint="eastAsia" w:ascii="Times New Roman" w:hAnsi="Times New Roman" w:eastAsia="宋体" w:cs="Times New Roman"/>
                <w:b w:val="0"/>
                <w:bCs w:val="0"/>
                <w:sz w:val="15"/>
                <w:szCs w:val="15"/>
                <w:highlight w:val="none"/>
                <w:lang w:val="en-US" w:eastAsia="zh-CN"/>
              </w:rPr>
              <w:t>0.32269</w:t>
            </w:r>
          </w:p>
        </w:tc>
        <w:tc>
          <w:tcPr>
            <w:tcW w:w="922" w:type="dxa"/>
            <w:gridSpan w:val="2"/>
            <w:vAlign w:val="center"/>
          </w:tcPr>
          <w:p w14:paraId="1AB2D916">
            <w:pPr>
              <w:jc w:val="center"/>
              <w:rPr>
                <w:rFonts w:hint="default" w:ascii="Times New Roman" w:hAnsi="Times New Roman" w:eastAsia="宋体" w:cs="Times New Roman"/>
                <w:b w:val="0"/>
                <w:bCs w:val="0"/>
                <w:sz w:val="15"/>
                <w:szCs w:val="15"/>
                <w:highlight w:val="none"/>
                <w:lang w:val="en-US" w:eastAsia="zh-CN"/>
              </w:rPr>
            </w:pPr>
          </w:p>
        </w:tc>
        <w:tc>
          <w:tcPr>
            <w:tcW w:w="931" w:type="dxa"/>
            <w:vAlign w:val="center"/>
          </w:tcPr>
          <w:p w14:paraId="21FD2ED5">
            <w:pPr>
              <w:jc w:val="center"/>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sz w:val="15"/>
                <w:szCs w:val="15"/>
                <w:highlight w:val="none"/>
                <w:lang w:val="en-US" w:eastAsia="zh-CN"/>
              </w:rPr>
              <w:t>－</w:t>
            </w:r>
          </w:p>
        </w:tc>
        <w:tc>
          <w:tcPr>
            <w:tcW w:w="910" w:type="dxa"/>
            <w:vAlign w:val="center"/>
          </w:tcPr>
          <w:p w14:paraId="6540D1A5">
            <w:pPr>
              <w:jc w:val="center"/>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sz w:val="15"/>
                <w:szCs w:val="15"/>
                <w:highlight w:val="none"/>
                <w:lang w:val="en-US" w:eastAsia="zh-CN"/>
              </w:rPr>
              <w:t>+</w:t>
            </w:r>
            <w:r>
              <w:rPr>
                <w:rFonts w:hint="eastAsia" w:ascii="Times New Roman" w:hAnsi="Times New Roman" w:eastAsia="宋体" w:cs="Times New Roman"/>
                <w:b w:val="0"/>
                <w:bCs w:val="0"/>
                <w:sz w:val="15"/>
                <w:szCs w:val="15"/>
                <w:highlight w:val="none"/>
                <w:lang w:val="en-US" w:eastAsia="zh-CN"/>
              </w:rPr>
              <w:t>0.07899</w:t>
            </w:r>
          </w:p>
        </w:tc>
      </w:tr>
      <w:tr w14:paraId="3D85AD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1" w:hRule="atLeast"/>
          <w:jc w:val="center"/>
        </w:trPr>
        <w:tc>
          <w:tcPr>
            <w:tcW w:w="684" w:type="dxa"/>
            <w:gridSpan w:val="2"/>
            <w:vMerge w:val="continue"/>
            <w:vAlign w:val="center"/>
          </w:tcPr>
          <w:p w14:paraId="04A6A70D">
            <w:pPr>
              <w:rPr>
                <w:rFonts w:hint="default" w:ascii="Times New Roman" w:hAnsi="Times New Roman" w:eastAsia="宋体" w:cs="Times New Roman"/>
                <w:sz w:val="15"/>
                <w:szCs w:val="15"/>
              </w:rPr>
            </w:pPr>
          </w:p>
        </w:tc>
        <w:tc>
          <w:tcPr>
            <w:tcW w:w="1590" w:type="dxa"/>
            <w:vAlign w:val="center"/>
          </w:tcPr>
          <w:p w14:paraId="4F617560">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化学需氧量</w:t>
            </w:r>
          </w:p>
        </w:tc>
        <w:tc>
          <w:tcPr>
            <w:tcW w:w="726" w:type="dxa"/>
            <w:vAlign w:val="center"/>
          </w:tcPr>
          <w:p w14:paraId="1237C870">
            <w:pPr>
              <w:jc w:val="both"/>
              <w:rPr>
                <w:rFonts w:hint="default" w:ascii="Times New Roman" w:hAnsi="Times New Roman" w:eastAsia="宋体" w:cs="Times New Roman"/>
                <w:b w:val="0"/>
                <w:bCs w:val="0"/>
                <w:sz w:val="15"/>
                <w:szCs w:val="15"/>
                <w:lang w:val="en-US" w:eastAsia="zh-CN"/>
              </w:rPr>
            </w:pPr>
            <w:r>
              <w:rPr>
                <w:rFonts w:hint="eastAsia" w:ascii="Times New Roman" w:hAnsi="Times New Roman" w:eastAsia="宋体" w:cs="Times New Roman"/>
                <w:b w:val="0"/>
                <w:bCs w:val="0"/>
                <w:sz w:val="15"/>
                <w:szCs w:val="15"/>
                <w:lang w:val="en-US" w:eastAsia="zh-CN"/>
              </w:rPr>
              <w:t>0.5366</w:t>
            </w:r>
          </w:p>
        </w:tc>
        <w:tc>
          <w:tcPr>
            <w:tcW w:w="1012" w:type="dxa"/>
            <w:vAlign w:val="center"/>
          </w:tcPr>
          <w:p w14:paraId="39FDE879">
            <w:pPr>
              <w:jc w:val="center"/>
              <w:rPr>
                <w:rFonts w:hint="default" w:ascii="Times New Roman" w:hAnsi="Times New Roman" w:eastAsia="宋体" w:cs="Times New Roman"/>
                <w:b w:val="0"/>
                <w:bCs w:val="0"/>
                <w:sz w:val="15"/>
                <w:szCs w:val="15"/>
                <w:lang w:val="en-US" w:eastAsia="zh-CN"/>
              </w:rPr>
            </w:pPr>
            <w:r>
              <w:rPr>
                <w:rFonts w:hint="eastAsia" w:ascii="Times New Roman" w:hAnsi="Times New Roman" w:eastAsia="宋体" w:cs="Times New Roman"/>
                <w:b w:val="0"/>
                <w:bCs w:val="0"/>
                <w:sz w:val="15"/>
                <w:szCs w:val="15"/>
                <w:lang w:val="en-US" w:eastAsia="zh-CN"/>
              </w:rPr>
              <w:t>61.25</w:t>
            </w:r>
          </w:p>
        </w:tc>
        <w:tc>
          <w:tcPr>
            <w:tcW w:w="979" w:type="dxa"/>
            <w:vAlign w:val="center"/>
          </w:tcPr>
          <w:p w14:paraId="267E219D">
            <w:pPr>
              <w:jc w:val="center"/>
              <w:rPr>
                <w:rFonts w:hint="default" w:ascii="Times New Roman" w:hAnsi="Times New Roman" w:eastAsia="宋体" w:cs="Times New Roman"/>
                <w:b w:val="0"/>
                <w:bCs w:val="0"/>
                <w:sz w:val="15"/>
                <w:szCs w:val="15"/>
                <w:lang w:val="en-US" w:eastAsia="zh-CN"/>
              </w:rPr>
            </w:pPr>
            <w:r>
              <w:rPr>
                <w:rFonts w:hint="default" w:ascii="Times New Roman" w:hAnsi="Times New Roman" w:eastAsia="宋体" w:cs="Times New Roman"/>
                <w:b w:val="0"/>
                <w:bCs w:val="0"/>
                <w:sz w:val="15"/>
                <w:szCs w:val="15"/>
                <w:lang w:val="en-US" w:eastAsia="zh-CN"/>
              </w:rPr>
              <w:t>500</w:t>
            </w:r>
          </w:p>
        </w:tc>
        <w:tc>
          <w:tcPr>
            <w:tcW w:w="966" w:type="dxa"/>
            <w:vAlign w:val="center"/>
          </w:tcPr>
          <w:p w14:paraId="530119A0">
            <w:pPr>
              <w:jc w:val="center"/>
              <w:rPr>
                <w:rFonts w:hint="default" w:ascii="Times New Roman" w:hAnsi="Times New Roman" w:eastAsia="宋体" w:cs="Times New Roman"/>
                <w:b w:val="0"/>
                <w:bCs w:val="0"/>
                <w:sz w:val="15"/>
                <w:szCs w:val="15"/>
                <w:lang w:val="en-US" w:eastAsia="zh-CN"/>
              </w:rPr>
            </w:pPr>
            <w:r>
              <w:rPr>
                <w:rFonts w:hint="default" w:ascii="Times New Roman" w:hAnsi="Times New Roman" w:eastAsia="宋体" w:cs="Times New Roman"/>
                <w:b w:val="0"/>
                <w:bCs w:val="0"/>
                <w:sz w:val="15"/>
                <w:szCs w:val="15"/>
                <w:lang w:val="en-US" w:eastAsia="zh-CN"/>
              </w:rPr>
              <w:t>－</w:t>
            </w:r>
          </w:p>
        </w:tc>
        <w:tc>
          <w:tcPr>
            <w:tcW w:w="946" w:type="dxa"/>
            <w:gridSpan w:val="2"/>
            <w:vAlign w:val="center"/>
          </w:tcPr>
          <w:p w14:paraId="7EFDCF14">
            <w:pPr>
              <w:jc w:val="center"/>
              <w:rPr>
                <w:rFonts w:hint="default" w:ascii="Times New Roman" w:hAnsi="Times New Roman" w:eastAsia="宋体" w:cs="Times New Roman"/>
                <w:b w:val="0"/>
                <w:bCs w:val="0"/>
                <w:sz w:val="15"/>
                <w:szCs w:val="15"/>
                <w:lang w:val="en-US" w:eastAsia="zh-CN"/>
              </w:rPr>
            </w:pPr>
            <w:r>
              <w:rPr>
                <w:rFonts w:hint="default" w:ascii="Times New Roman" w:hAnsi="Times New Roman" w:eastAsia="宋体" w:cs="Times New Roman"/>
                <w:b w:val="0"/>
                <w:bCs w:val="0"/>
                <w:sz w:val="15"/>
                <w:szCs w:val="15"/>
                <w:lang w:val="en-US" w:eastAsia="zh-CN"/>
              </w:rPr>
              <w:tab/>
            </w:r>
            <w:r>
              <w:rPr>
                <w:rFonts w:hint="default" w:ascii="Times New Roman" w:hAnsi="Times New Roman" w:eastAsia="宋体" w:cs="Times New Roman"/>
                <w:b w:val="0"/>
                <w:bCs w:val="0"/>
                <w:sz w:val="15"/>
                <w:szCs w:val="15"/>
                <w:lang w:val="en-US" w:eastAsia="zh-CN"/>
              </w:rPr>
              <w:t>－</w:t>
            </w:r>
          </w:p>
        </w:tc>
        <w:tc>
          <w:tcPr>
            <w:tcW w:w="936" w:type="dxa"/>
            <w:vAlign w:val="center"/>
          </w:tcPr>
          <w:p w14:paraId="78088941">
            <w:pPr>
              <w:jc w:val="both"/>
              <w:rPr>
                <w:rFonts w:hint="default" w:ascii="Times New Roman" w:hAnsi="Times New Roman" w:eastAsia="宋体" w:cs="Times New Roman"/>
                <w:b w:val="0"/>
                <w:bCs w:val="0"/>
                <w:sz w:val="15"/>
                <w:szCs w:val="15"/>
                <w:lang w:val="en-US" w:eastAsia="zh-CN"/>
              </w:rPr>
            </w:pPr>
            <w:r>
              <w:rPr>
                <w:rFonts w:hint="eastAsia" w:ascii="Times New Roman" w:hAnsi="Times New Roman" w:eastAsia="宋体" w:cs="Times New Roman"/>
                <w:b w:val="0"/>
                <w:bCs w:val="0"/>
                <w:sz w:val="15"/>
                <w:szCs w:val="15"/>
                <w:lang w:val="en-US" w:eastAsia="zh-CN"/>
              </w:rPr>
              <w:t>0.048381375</w:t>
            </w:r>
          </w:p>
        </w:tc>
        <w:tc>
          <w:tcPr>
            <w:tcW w:w="1111" w:type="dxa"/>
            <w:vAlign w:val="center"/>
          </w:tcPr>
          <w:p w14:paraId="01B1BE6F">
            <w:pPr>
              <w:jc w:val="center"/>
              <w:rPr>
                <w:rFonts w:hint="default" w:ascii="Times New Roman" w:hAnsi="Times New Roman" w:eastAsia="宋体" w:cs="Times New Roman"/>
                <w:b w:val="0"/>
                <w:bCs w:val="0"/>
                <w:sz w:val="15"/>
                <w:szCs w:val="15"/>
                <w:lang w:val="en-US" w:eastAsia="zh-CN"/>
              </w:rPr>
            </w:pPr>
            <w:r>
              <w:rPr>
                <w:rFonts w:hint="default" w:ascii="Times New Roman" w:hAnsi="Times New Roman" w:eastAsia="宋体" w:cs="Times New Roman"/>
                <w:b w:val="0"/>
                <w:bCs w:val="0"/>
                <w:sz w:val="15"/>
                <w:szCs w:val="15"/>
                <w:lang w:val="en-US" w:eastAsia="zh-CN"/>
              </w:rPr>
              <w:t>－</w:t>
            </w:r>
          </w:p>
        </w:tc>
        <w:tc>
          <w:tcPr>
            <w:tcW w:w="2052" w:type="dxa"/>
            <w:vAlign w:val="center"/>
          </w:tcPr>
          <w:p w14:paraId="1EEEED86">
            <w:pPr>
              <w:jc w:val="center"/>
              <w:rPr>
                <w:rFonts w:hint="default" w:ascii="Times New Roman" w:hAnsi="Times New Roman" w:eastAsia="宋体" w:cs="Times New Roman"/>
                <w:b w:val="0"/>
                <w:bCs w:val="0"/>
                <w:sz w:val="15"/>
                <w:szCs w:val="15"/>
                <w:lang w:val="en-US" w:eastAsia="zh-CN"/>
              </w:rPr>
            </w:pPr>
            <w:r>
              <w:rPr>
                <w:rFonts w:hint="default" w:ascii="Times New Roman" w:hAnsi="Times New Roman" w:eastAsia="宋体" w:cs="Times New Roman"/>
                <w:b w:val="0"/>
                <w:bCs w:val="0"/>
                <w:sz w:val="15"/>
                <w:szCs w:val="15"/>
                <w:lang w:val="en-US" w:eastAsia="zh-CN"/>
              </w:rPr>
              <w:t>－</w:t>
            </w:r>
          </w:p>
        </w:tc>
        <w:tc>
          <w:tcPr>
            <w:tcW w:w="964" w:type="dxa"/>
            <w:vAlign w:val="center"/>
          </w:tcPr>
          <w:p w14:paraId="149691D6">
            <w:pPr>
              <w:jc w:val="center"/>
              <w:rPr>
                <w:rFonts w:hint="default" w:ascii="Times New Roman" w:hAnsi="Times New Roman" w:eastAsia="宋体" w:cs="Times New Roman"/>
                <w:b w:val="0"/>
                <w:bCs w:val="0"/>
                <w:sz w:val="15"/>
                <w:szCs w:val="15"/>
                <w:lang w:val="en-US" w:eastAsia="zh-CN"/>
              </w:rPr>
            </w:pPr>
            <w:r>
              <w:rPr>
                <w:rFonts w:hint="eastAsia" w:ascii="Times New Roman" w:hAnsi="Times New Roman" w:eastAsia="宋体" w:cs="Times New Roman"/>
                <w:b w:val="0"/>
                <w:bCs w:val="0"/>
                <w:sz w:val="15"/>
                <w:szCs w:val="15"/>
                <w:lang w:val="en-US" w:eastAsia="zh-CN"/>
              </w:rPr>
              <w:t>0.085577275</w:t>
            </w:r>
          </w:p>
        </w:tc>
        <w:tc>
          <w:tcPr>
            <w:tcW w:w="922" w:type="dxa"/>
            <w:gridSpan w:val="2"/>
            <w:vAlign w:val="center"/>
          </w:tcPr>
          <w:p w14:paraId="2D61C78E">
            <w:pPr>
              <w:jc w:val="center"/>
              <w:rPr>
                <w:rFonts w:hint="default" w:ascii="Times New Roman" w:hAnsi="Times New Roman" w:eastAsia="宋体" w:cs="Times New Roman"/>
                <w:b w:val="0"/>
                <w:bCs w:val="0"/>
                <w:sz w:val="15"/>
                <w:szCs w:val="15"/>
                <w:lang w:val="en-US" w:eastAsia="zh-CN"/>
              </w:rPr>
            </w:pPr>
            <w:r>
              <w:rPr>
                <w:rFonts w:hint="default" w:ascii="Times New Roman" w:hAnsi="Times New Roman" w:eastAsia="宋体" w:cs="Times New Roman"/>
                <w:b w:val="0"/>
                <w:bCs w:val="0"/>
                <w:sz w:val="15"/>
                <w:szCs w:val="15"/>
                <w:lang w:val="en-US" w:eastAsia="zh-CN"/>
              </w:rPr>
              <w:t>－</w:t>
            </w:r>
          </w:p>
        </w:tc>
        <w:tc>
          <w:tcPr>
            <w:tcW w:w="931" w:type="dxa"/>
            <w:vAlign w:val="center"/>
          </w:tcPr>
          <w:p w14:paraId="6B7209EA">
            <w:pPr>
              <w:jc w:val="center"/>
              <w:rPr>
                <w:rFonts w:hint="default" w:ascii="Times New Roman" w:hAnsi="Times New Roman" w:eastAsia="宋体" w:cs="Times New Roman"/>
                <w:b w:val="0"/>
                <w:bCs w:val="0"/>
                <w:sz w:val="15"/>
                <w:szCs w:val="15"/>
                <w:lang w:val="en-US" w:eastAsia="zh-CN"/>
              </w:rPr>
            </w:pPr>
            <w:r>
              <w:rPr>
                <w:rFonts w:hint="default" w:ascii="Times New Roman" w:hAnsi="Times New Roman" w:eastAsia="宋体" w:cs="Times New Roman"/>
                <w:b w:val="0"/>
                <w:bCs w:val="0"/>
                <w:sz w:val="15"/>
                <w:szCs w:val="15"/>
                <w:lang w:val="en-US" w:eastAsia="zh-CN"/>
              </w:rPr>
              <w:t>－</w:t>
            </w:r>
          </w:p>
        </w:tc>
        <w:tc>
          <w:tcPr>
            <w:tcW w:w="910" w:type="dxa"/>
            <w:vAlign w:val="center"/>
          </w:tcPr>
          <w:p w14:paraId="2A8CBBCA">
            <w:pPr>
              <w:jc w:val="center"/>
              <w:rPr>
                <w:rFonts w:hint="default" w:ascii="Times New Roman" w:hAnsi="Times New Roman" w:eastAsia="宋体" w:cs="Times New Roman"/>
                <w:b w:val="0"/>
                <w:bCs w:val="0"/>
                <w:sz w:val="15"/>
                <w:szCs w:val="15"/>
                <w:lang w:val="en-US" w:eastAsia="zh-CN"/>
              </w:rPr>
            </w:pPr>
            <w:r>
              <w:rPr>
                <w:rFonts w:hint="default" w:ascii="Times New Roman" w:hAnsi="Times New Roman" w:eastAsia="宋体" w:cs="Times New Roman"/>
                <w:b w:val="0"/>
                <w:bCs w:val="0"/>
                <w:sz w:val="15"/>
                <w:szCs w:val="15"/>
                <w:lang w:val="en-US" w:eastAsia="zh-CN"/>
              </w:rPr>
              <w:t>+</w:t>
            </w:r>
            <w:r>
              <w:rPr>
                <w:rFonts w:hint="eastAsia" w:ascii="Times New Roman" w:hAnsi="Times New Roman" w:eastAsia="宋体" w:cs="Times New Roman"/>
                <w:b w:val="0"/>
                <w:bCs w:val="0"/>
                <w:sz w:val="15"/>
                <w:szCs w:val="15"/>
                <w:lang w:val="en-US" w:eastAsia="zh-CN"/>
              </w:rPr>
              <w:t>0.048381375</w:t>
            </w:r>
          </w:p>
        </w:tc>
      </w:tr>
      <w:tr w14:paraId="7665DA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1" w:hRule="atLeast"/>
          <w:jc w:val="center"/>
        </w:trPr>
        <w:tc>
          <w:tcPr>
            <w:tcW w:w="684" w:type="dxa"/>
            <w:gridSpan w:val="2"/>
            <w:vMerge w:val="continue"/>
            <w:vAlign w:val="center"/>
          </w:tcPr>
          <w:p w14:paraId="3C87EF0F">
            <w:pPr>
              <w:rPr>
                <w:rFonts w:hint="default" w:ascii="Times New Roman" w:hAnsi="Times New Roman" w:eastAsia="宋体" w:cs="Times New Roman"/>
                <w:sz w:val="15"/>
                <w:szCs w:val="15"/>
              </w:rPr>
            </w:pPr>
          </w:p>
        </w:tc>
        <w:tc>
          <w:tcPr>
            <w:tcW w:w="1590" w:type="dxa"/>
            <w:vAlign w:val="center"/>
          </w:tcPr>
          <w:p w14:paraId="6D2DC1A9">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氨氮</w:t>
            </w:r>
          </w:p>
        </w:tc>
        <w:tc>
          <w:tcPr>
            <w:tcW w:w="726" w:type="dxa"/>
            <w:vAlign w:val="center"/>
          </w:tcPr>
          <w:p w14:paraId="682B7865">
            <w:pPr>
              <w:jc w:val="center"/>
              <w:rPr>
                <w:rFonts w:hint="default" w:ascii="Times New Roman" w:hAnsi="Times New Roman" w:eastAsia="宋体" w:cs="Times New Roman"/>
                <w:b w:val="0"/>
                <w:bCs w:val="0"/>
                <w:sz w:val="15"/>
                <w:szCs w:val="15"/>
                <w:highlight w:val="none"/>
                <w:lang w:val="en-US" w:eastAsia="zh-CN"/>
              </w:rPr>
            </w:pPr>
            <w:r>
              <w:rPr>
                <w:rFonts w:hint="eastAsia" w:ascii="Times New Roman" w:hAnsi="Times New Roman" w:eastAsia="宋体" w:cs="Times New Roman"/>
                <w:b w:val="0"/>
                <w:bCs w:val="0"/>
                <w:color w:val="000000"/>
                <w:sz w:val="15"/>
                <w:szCs w:val="15"/>
                <w:highlight w:val="none"/>
                <w:lang w:val="en-US" w:eastAsia="zh-CN"/>
              </w:rPr>
              <w:t>0.0678</w:t>
            </w:r>
          </w:p>
        </w:tc>
        <w:tc>
          <w:tcPr>
            <w:tcW w:w="1012" w:type="dxa"/>
            <w:vAlign w:val="center"/>
          </w:tcPr>
          <w:p w14:paraId="661B8312">
            <w:pPr>
              <w:jc w:val="center"/>
              <w:rPr>
                <w:rFonts w:hint="default" w:ascii="Times New Roman" w:hAnsi="Times New Roman" w:eastAsia="宋体" w:cs="Times New Roman"/>
                <w:b w:val="0"/>
                <w:bCs w:val="0"/>
                <w:sz w:val="15"/>
                <w:szCs w:val="15"/>
                <w:highlight w:val="none"/>
                <w:lang w:val="en-US" w:eastAsia="zh-CN"/>
              </w:rPr>
            </w:pPr>
            <w:r>
              <w:rPr>
                <w:rFonts w:hint="eastAsia" w:ascii="Times New Roman" w:hAnsi="Times New Roman" w:eastAsia="宋体" w:cs="Times New Roman"/>
                <w:b w:val="0"/>
                <w:bCs w:val="0"/>
                <w:sz w:val="15"/>
                <w:szCs w:val="15"/>
                <w:highlight w:val="none"/>
                <w:lang w:val="en-US" w:eastAsia="zh-CN"/>
              </w:rPr>
              <w:t>22.5</w:t>
            </w:r>
          </w:p>
        </w:tc>
        <w:tc>
          <w:tcPr>
            <w:tcW w:w="979" w:type="dxa"/>
            <w:vAlign w:val="center"/>
          </w:tcPr>
          <w:p w14:paraId="3B1B67A9">
            <w:pPr>
              <w:jc w:val="center"/>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sz w:val="15"/>
                <w:szCs w:val="15"/>
                <w:highlight w:val="none"/>
                <w:lang w:val="en-US" w:eastAsia="zh-CN"/>
              </w:rPr>
              <w:t>45</w:t>
            </w:r>
          </w:p>
        </w:tc>
        <w:tc>
          <w:tcPr>
            <w:tcW w:w="966" w:type="dxa"/>
            <w:vAlign w:val="center"/>
          </w:tcPr>
          <w:p w14:paraId="22FC2AEE">
            <w:pPr>
              <w:jc w:val="center"/>
              <w:rPr>
                <w:rFonts w:hint="default" w:ascii="Times New Roman" w:hAnsi="Times New Roman" w:eastAsia="宋体" w:cs="Times New Roman"/>
                <w:b w:val="0"/>
                <w:bCs w:val="0"/>
                <w:color w:val="000000" w:themeColor="text1"/>
                <w:sz w:val="15"/>
                <w:szCs w:val="15"/>
                <w:highlight w:val="none"/>
                <w14:textFill>
                  <w14:solidFill>
                    <w14:schemeClr w14:val="tx1"/>
                  </w14:solidFill>
                </w14:textFill>
              </w:rPr>
            </w:pPr>
            <w:r>
              <w:rPr>
                <w:rFonts w:hint="default" w:ascii="Times New Roman" w:hAnsi="Times New Roman" w:eastAsia="宋体" w:cs="Times New Roman"/>
                <w:b w:val="0"/>
                <w:bCs w:val="0"/>
                <w:sz w:val="15"/>
                <w:szCs w:val="15"/>
                <w:highlight w:val="none"/>
                <w:lang w:val="en-US" w:eastAsia="zh-CN"/>
              </w:rPr>
              <w:t>－</w:t>
            </w:r>
          </w:p>
        </w:tc>
        <w:tc>
          <w:tcPr>
            <w:tcW w:w="946" w:type="dxa"/>
            <w:gridSpan w:val="2"/>
            <w:vAlign w:val="center"/>
          </w:tcPr>
          <w:p w14:paraId="637C3140">
            <w:pPr>
              <w:jc w:val="center"/>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sz w:val="15"/>
                <w:szCs w:val="15"/>
                <w:highlight w:val="none"/>
                <w:lang w:val="en-US" w:eastAsia="zh-CN"/>
              </w:rPr>
              <w:t>－</w:t>
            </w:r>
          </w:p>
        </w:tc>
        <w:tc>
          <w:tcPr>
            <w:tcW w:w="936" w:type="dxa"/>
            <w:vAlign w:val="center"/>
          </w:tcPr>
          <w:p w14:paraId="283975C7">
            <w:pPr>
              <w:jc w:val="center"/>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color w:val="000000" w:themeColor="text1"/>
                <w:kern w:val="24"/>
                <w:sz w:val="15"/>
                <w:szCs w:val="15"/>
                <w:highlight w:val="none"/>
                <w:lang w:val="en-US" w:eastAsia="zh-CN" w:bidi="ar-SA"/>
                <w14:textFill>
                  <w14:solidFill>
                    <w14:schemeClr w14:val="tx1"/>
                  </w14:solidFill>
                </w14:textFill>
              </w:rPr>
              <w:t>0.0</w:t>
            </w:r>
            <w:r>
              <w:rPr>
                <w:rFonts w:hint="eastAsia" w:ascii="Times New Roman" w:hAnsi="Times New Roman" w:eastAsia="宋体" w:cs="Times New Roman"/>
                <w:b w:val="0"/>
                <w:bCs w:val="0"/>
                <w:color w:val="000000" w:themeColor="text1"/>
                <w:kern w:val="24"/>
                <w:sz w:val="15"/>
                <w:szCs w:val="15"/>
                <w:highlight w:val="none"/>
                <w:lang w:val="en-US" w:eastAsia="zh-CN" w:bidi="ar-SA"/>
                <w14:textFill>
                  <w14:solidFill>
                    <w14:schemeClr w14:val="tx1"/>
                  </w14:solidFill>
                </w14:textFill>
              </w:rPr>
              <w:t>17777275</w:t>
            </w:r>
          </w:p>
        </w:tc>
        <w:tc>
          <w:tcPr>
            <w:tcW w:w="1111" w:type="dxa"/>
            <w:vAlign w:val="center"/>
          </w:tcPr>
          <w:p w14:paraId="6B7873DC">
            <w:pPr>
              <w:jc w:val="center"/>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sz w:val="15"/>
                <w:szCs w:val="15"/>
                <w:highlight w:val="none"/>
                <w:lang w:val="en-US" w:eastAsia="zh-CN"/>
              </w:rPr>
              <w:t>－</w:t>
            </w:r>
          </w:p>
        </w:tc>
        <w:tc>
          <w:tcPr>
            <w:tcW w:w="2052" w:type="dxa"/>
            <w:vAlign w:val="center"/>
          </w:tcPr>
          <w:p w14:paraId="6C2E74F2">
            <w:pPr>
              <w:jc w:val="center"/>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sz w:val="15"/>
                <w:szCs w:val="15"/>
                <w:highlight w:val="none"/>
                <w:lang w:val="en-US" w:eastAsia="zh-CN"/>
              </w:rPr>
              <w:t>－</w:t>
            </w:r>
          </w:p>
        </w:tc>
        <w:tc>
          <w:tcPr>
            <w:tcW w:w="964" w:type="dxa"/>
            <w:vAlign w:val="center"/>
          </w:tcPr>
          <w:p w14:paraId="699F7132">
            <w:pPr>
              <w:jc w:val="center"/>
              <w:rPr>
                <w:rFonts w:hint="default" w:ascii="Times New Roman" w:hAnsi="Times New Roman" w:eastAsia="宋体" w:cs="Times New Roman"/>
                <w:b w:val="0"/>
                <w:bCs w:val="0"/>
                <w:sz w:val="15"/>
                <w:szCs w:val="15"/>
                <w:highlight w:val="none"/>
                <w:lang w:val="en-US" w:eastAsia="zh-CN"/>
              </w:rPr>
            </w:pPr>
          </w:p>
        </w:tc>
        <w:tc>
          <w:tcPr>
            <w:tcW w:w="922" w:type="dxa"/>
            <w:gridSpan w:val="2"/>
            <w:vAlign w:val="center"/>
          </w:tcPr>
          <w:p w14:paraId="5665EABC">
            <w:pPr>
              <w:jc w:val="center"/>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sz w:val="15"/>
                <w:szCs w:val="15"/>
                <w:highlight w:val="none"/>
                <w:lang w:val="en-US" w:eastAsia="zh-CN"/>
              </w:rPr>
              <w:t>－</w:t>
            </w:r>
          </w:p>
        </w:tc>
        <w:tc>
          <w:tcPr>
            <w:tcW w:w="931" w:type="dxa"/>
            <w:vAlign w:val="center"/>
          </w:tcPr>
          <w:p w14:paraId="11650101">
            <w:pPr>
              <w:jc w:val="center"/>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sz w:val="15"/>
                <w:szCs w:val="15"/>
                <w:highlight w:val="none"/>
                <w:lang w:val="en-US" w:eastAsia="zh-CN"/>
              </w:rPr>
              <w:t>－</w:t>
            </w:r>
          </w:p>
        </w:tc>
        <w:tc>
          <w:tcPr>
            <w:tcW w:w="910" w:type="dxa"/>
            <w:vAlign w:val="center"/>
          </w:tcPr>
          <w:p w14:paraId="2EE4407F">
            <w:pPr>
              <w:jc w:val="center"/>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sz w:val="15"/>
                <w:szCs w:val="15"/>
                <w:highlight w:val="none"/>
                <w:lang w:val="en-US" w:eastAsia="zh-CN"/>
              </w:rPr>
              <w:t>+</w:t>
            </w:r>
            <w:r>
              <w:rPr>
                <w:rFonts w:hint="default" w:ascii="Times New Roman" w:hAnsi="Times New Roman" w:eastAsia="宋体" w:cs="Times New Roman"/>
                <w:b w:val="0"/>
                <w:bCs w:val="0"/>
                <w:color w:val="000000" w:themeColor="text1"/>
                <w:kern w:val="24"/>
                <w:sz w:val="15"/>
                <w:szCs w:val="15"/>
                <w:highlight w:val="none"/>
                <w:lang w:val="en-US" w:eastAsia="zh-CN" w:bidi="ar-SA"/>
                <w14:textFill>
                  <w14:solidFill>
                    <w14:schemeClr w14:val="tx1"/>
                  </w14:solidFill>
                </w14:textFill>
              </w:rPr>
              <w:t>0.0</w:t>
            </w:r>
            <w:r>
              <w:rPr>
                <w:rFonts w:hint="eastAsia" w:ascii="Times New Roman" w:hAnsi="Times New Roman" w:eastAsia="宋体" w:cs="Times New Roman"/>
                <w:b w:val="0"/>
                <w:bCs w:val="0"/>
                <w:color w:val="000000" w:themeColor="text1"/>
                <w:kern w:val="24"/>
                <w:sz w:val="15"/>
                <w:szCs w:val="15"/>
                <w:highlight w:val="none"/>
                <w:lang w:val="en-US" w:eastAsia="zh-CN" w:bidi="ar-SA"/>
                <w14:textFill>
                  <w14:solidFill>
                    <w14:schemeClr w14:val="tx1"/>
                  </w14:solidFill>
                </w14:textFill>
              </w:rPr>
              <w:t>17777275</w:t>
            </w:r>
          </w:p>
        </w:tc>
      </w:tr>
      <w:tr w14:paraId="1C8F2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1" w:hRule="atLeast"/>
          <w:jc w:val="center"/>
        </w:trPr>
        <w:tc>
          <w:tcPr>
            <w:tcW w:w="684" w:type="dxa"/>
            <w:gridSpan w:val="2"/>
            <w:vMerge w:val="continue"/>
            <w:vAlign w:val="center"/>
          </w:tcPr>
          <w:p w14:paraId="149686EB">
            <w:pPr>
              <w:rPr>
                <w:rFonts w:hint="default" w:ascii="Times New Roman" w:hAnsi="Times New Roman" w:eastAsia="宋体" w:cs="Times New Roman"/>
                <w:sz w:val="15"/>
                <w:szCs w:val="15"/>
              </w:rPr>
            </w:pPr>
          </w:p>
        </w:tc>
        <w:tc>
          <w:tcPr>
            <w:tcW w:w="1590" w:type="dxa"/>
            <w:vAlign w:val="center"/>
          </w:tcPr>
          <w:p w14:paraId="1D004740">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石油类</w:t>
            </w:r>
          </w:p>
        </w:tc>
        <w:tc>
          <w:tcPr>
            <w:tcW w:w="726" w:type="dxa"/>
            <w:vAlign w:val="center"/>
          </w:tcPr>
          <w:p w14:paraId="0FEF20FB">
            <w:pPr>
              <w:jc w:val="center"/>
              <w:rPr>
                <w:rFonts w:hint="default" w:ascii="Times New Roman" w:hAnsi="Times New Roman" w:eastAsia="宋体" w:cs="Times New Roman"/>
                <w:sz w:val="15"/>
                <w:szCs w:val="15"/>
              </w:rPr>
            </w:pPr>
            <w:r>
              <w:rPr>
                <w:rFonts w:hint="default" w:ascii="Times New Roman" w:hAnsi="Times New Roman" w:eastAsia="宋体" w:cs="Times New Roman"/>
                <w:sz w:val="15"/>
                <w:szCs w:val="15"/>
              </w:rPr>
              <w:t>－</w:t>
            </w:r>
          </w:p>
        </w:tc>
        <w:tc>
          <w:tcPr>
            <w:tcW w:w="1012" w:type="dxa"/>
            <w:vAlign w:val="center"/>
          </w:tcPr>
          <w:p w14:paraId="0DE9C10D">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sz w:val="15"/>
                <w:szCs w:val="15"/>
              </w:rPr>
              <w:t>－</w:t>
            </w:r>
          </w:p>
        </w:tc>
        <w:tc>
          <w:tcPr>
            <w:tcW w:w="979" w:type="dxa"/>
            <w:vAlign w:val="center"/>
          </w:tcPr>
          <w:p w14:paraId="6D71545C">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sz w:val="15"/>
                <w:szCs w:val="15"/>
              </w:rPr>
              <w:t>－</w:t>
            </w:r>
          </w:p>
        </w:tc>
        <w:tc>
          <w:tcPr>
            <w:tcW w:w="966" w:type="dxa"/>
            <w:vAlign w:val="center"/>
          </w:tcPr>
          <w:p w14:paraId="380BB552">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w:t>
            </w:r>
          </w:p>
        </w:tc>
        <w:tc>
          <w:tcPr>
            <w:tcW w:w="946" w:type="dxa"/>
            <w:gridSpan w:val="2"/>
            <w:vAlign w:val="center"/>
          </w:tcPr>
          <w:p w14:paraId="4F9D7B46">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w:t>
            </w:r>
          </w:p>
        </w:tc>
        <w:tc>
          <w:tcPr>
            <w:tcW w:w="936" w:type="dxa"/>
            <w:vAlign w:val="center"/>
          </w:tcPr>
          <w:p w14:paraId="5680BE0E">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sz w:val="15"/>
                <w:szCs w:val="15"/>
              </w:rPr>
              <w:t>－</w:t>
            </w:r>
          </w:p>
        </w:tc>
        <w:tc>
          <w:tcPr>
            <w:tcW w:w="1111" w:type="dxa"/>
            <w:vAlign w:val="center"/>
          </w:tcPr>
          <w:p w14:paraId="751205C2">
            <w:pPr>
              <w:jc w:val="center"/>
              <w:rPr>
                <w:rFonts w:hint="default" w:ascii="Times New Roman" w:hAnsi="Times New Roman" w:eastAsia="宋体" w:cs="Times New Roman"/>
                <w:b/>
                <w:sz w:val="15"/>
                <w:szCs w:val="15"/>
              </w:rPr>
            </w:pPr>
            <w:r>
              <w:rPr>
                <w:rFonts w:hint="default" w:ascii="Times New Roman" w:hAnsi="Times New Roman" w:eastAsia="宋体" w:cs="Times New Roman"/>
                <w:sz w:val="15"/>
                <w:szCs w:val="15"/>
              </w:rPr>
              <w:t>－</w:t>
            </w:r>
          </w:p>
        </w:tc>
        <w:tc>
          <w:tcPr>
            <w:tcW w:w="2052" w:type="dxa"/>
            <w:vAlign w:val="center"/>
          </w:tcPr>
          <w:p w14:paraId="038B3F81">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w:t>
            </w:r>
          </w:p>
        </w:tc>
        <w:tc>
          <w:tcPr>
            <w:tcW w:w="964" w:type="dxa"/>
            <w:vAlign w:val="center"/>
          </w:tcPr>
          <w:p w14:paraId="086EED7B">
            <w:pPr>
              <w:jc w:val="center"/>
              <w:rPr>
                <w:rFonts w:hint="default" w:ascii="Times New Roman" w:hAnsi="Times New Roman" w:eastAsia="宋体" w:cs="Times New Roman"/>
                <w:b/>
                <w:kern w:val="2"/>
                <w:sz w:val="15"/>
                <w:szCs w:val="15"/>
                <w:lang w:val="en-US" w:eastAsia="zh-CN" w:bidi="ar-SA"/>
              </w:rPr>
            </w:pPr>
            <w:r>
              <w:rPr>
                <w:rFonts w:hint="default" w:ascii="Times New Roman" w:hAnsi="Times New Roman" w:eastAsia="宋体" w:cs="Times New Roman"/>
                <w:sz w:val="15"/>
                <w:szCs w:val="15"/>
              </w:rPr>
              <w:t>－</w:t>
            </w:r>
          </w:p>
        </w:tc>
        <w:tc>
          <w:tcPr>
            <w:tcW w:w="922" w:type="dxa"/>
            <w:gridSpan w:val="2"/>
            <w:vAlign w:val="center"/>
          </w:tcPr>
          <w:p w14:paraId="6EEAB999">
            <w:pPr>
              <w:jc w:val="center"/>
              <w:rPr>
                <w:rFonts w:hint="default" w:ascii="Times New Roman" w:hAnsi="Times New Roman" w:eastAsia="宋体" w:cs="Times New Roman"/>
                <w:color w:val="000000" w:themeColor="text1"/>
                <w:sz w:val="15"/>
                <w:szCs w:val="15"/>
                <w14:textFill>
                  <w14:solidFill>
                    <w14:schemeClr w14:val="tx1"/>
                  </w14:solidFill>
                </w14:textFill>
              </w:rPr>
            </w:pPr>
            <w:r>
              <w:rPr>
                <w:rFonts w:hint="default" w:ascii="Times New Roman" w:hAnsi="Times New Roman" w:eastAsia="宋体" w:cs="Times New Roman"/>
                <w:sz w:val="15"/>
                <w:szCs w:val="15"/>
              </w:rPr>
              <w:t>－</w:t>
            </w:r>
          </w:p>
        </w:tc>
        <w:tc>
          <w:tcPr>
            <w:tcW w:w="931" w:type="dxa"/>
            <w:vAlign w:val="center"/>
          </w:tcPr>
          <w:p w14:paraId="7A5908B5">
            <w:pPr>
              <w:jc w:val="center"/>
              <w:rPr>
                <w:rFonts w:hint="default" w:ascii="Times New Roman" w:hAnsi="Times New Roman" w:eastAsia="宋体" w:cs="Times New Roman"/>
                <w:color w:val="000000" w:themeColor="text1"/>
                <w:sz w:val="15"/>
                <w:szCs w:val="15"/>
                <w14:textFill>
                  <w14:solidFill>
                    <w14:schemeClr w14:val="tx1"/>
                  </w14:solidFill>
                </w14:textFill>
              </w:rPr>
            </w:pPr>
            <w:r>
              <w:rPr>
                <w:rFonts w:hint="default" w:ascii="Times New Roman" w:hAnsi="Times New Roman" w:eastAsia="宋体" w:cs="Times New Roman"/>
                <w:sz w:val="15"/>
                <w:szCs w:val="15"/>
              </w:rPr>
              <w:t>－</w:t>
            </w:r>
          </w:p>
        </w:tc>
        <w:tc>
          <w:tcPr>
            <w:tcW w:w="910" w:type="dxa"/>
            <w:vAlign w:val="center"/>
          </w:tcPr>
          <w:p w14:paraId="67A3ED87">
            <w:pPr>
              <w:jc w:val="center"/>
              <w:rPr>
                <w:rFonts w:hint="default" w:ascii="Times New Roman" w:hAnsi="Times New Roman" w:eastAsia="宋体" w:cs="Times New Roman"/>
                <w:b/>
                <w:kern w:val="2"/>
                <w:sz w:val="15"/>
                <w:szCs w:val="15"/>
                <w:lang w:val="en-US" w:eastAsia="zh-CN" w:bidi="ar-SA"/>
              </w:rPr>
            </w:pPr>
            <w:r>
              <w:rPr>
                <w:rFonts w:hint="default" w:ascii="Times New Roman" w:hAnsi="Times New Roman" w:eastAsia="宋体" w:cs="Times New Roman"/>
                <w:sz w:val="15"/>
                <w:szCs w:val="15"/>
              </w:rPr>
              <w:t>－</w:t>
            </w:r>
          </w:p>
        </w:tc>
      </w:tr>
      <w:tr w14:paraId="7B8FE2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1" w:hRule="atLeast"/>
          <w:jc w:val="center"/>
        </w:trPr>
        <w:tc>
          <w:tcPr>
            <w:tcW w:w="684" w:type="dxa"/>
            <w:gridSpan w:val="2"/>
            <w:vMerge w:val="continue"/>
            <w:vAlign w:val="center"/>
          </w:tcPr>
          <w:p w14:paraId="781639C0">
            <w:pPr>
              <w:rPr>
                <w:rFonts w:hint="default" w:ascii="Times New Roman" w:hAnsi="Times New Roman" w:eastAsia="宋体" w:cs="Times New Roman"/>
                <w:sz w:val="15"/>
                <w:szCs w:val="15"/>
              </w:rPr>
            </w:pPr>
          </w:p>
        </w:tc>
        <w:tc>
          <w:tcPr>
            <w:tcW w:w="1590" w:type="dxa"/>
            <w:vAlign w:val="center"/>
          </w:tcPr>
          <w:p w14:paraId="56FED520">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废气</w:t>
            </w:r>
          </w:p>
        </w:tc>
        <w:tc>
          <w:tcPr>
            <w:tcW w:w="726" w:type="dxa"/>
            <w:vAlign w:val="center"/>
          </w:tcPr>
          <w:p w14:paraId="1FBB2A03">
            <w:pPr>
              <w:jc w:val="center"/>
              <w:rPr>
                <w:rFonts w:hint="default" w:ascii="Times New Roman" w:hAnsi="Times New Roman" w:eastAsia="宋体" w:cs="Times New Roman"/>
                <w:sz w:val="15"/>
                <w:szCs w:val="15"/>
              </w:rPr>
            </w:pPr>
            <w:r>
              <w:rPr>
                <w:rFonts w:hint="default" w:ascii="Times New Roman" w:hAnsi="Times New Roman" w:eastAsia="宋体" w:cs="Times New Roman"/>
                <w:sz w:val="15"/>
                <w:szCs w:val="15"/>
              </w:rPr>
              <w:t>－</w:t>
            </w:r>
          </w:p>
        </w:tc>
        <w:tc>
          <w:tcPr>
            <w:tcW w:w="1012" w:type="dxa"/>
            <w:vAlign w:val="center"/>
          </w:tcPr>
          <w:p w14:paraId="4453108B">
            <w:pPr>
              <w:jc w:val="center"/>
              <w:rPr>
                <w:rFonts w:hint="default" w:ascii="Times New Roman" w:hAnsi="Times New Roman" w:eastAsia="宋体" w:cs="Times New Roman"/>
                <w:sz w:val="15"/>
                <w:szCs w:val="15"/>
              </w:rPr>
            </w:pPr>
            <w:r>
              <w:rPr>
                <w:rFonts w:hint="default" w:ascii="Times New Roman" w:hAnsi="Times New Roman" w:eastAsia="宋体" w:cs="Times New Roman"/>
                <w:sz w:val="15"/>
                <w:szCs w:val="15"/>
              </w:rPr>
              <w:t>－</w:t>
            </w:r>
          </w:p>
        </w:tc>
        <w:tc>
          <w:tcPr>
            <w:tcW w:w="979" w:type="dxa"/>
            <w:vAlign w:val="center"/>
          </w:tcPr>
          <w:p w14:paraId="16E1B6F8">
            <w:pPr>
              <w:jc w:val="center"/>
              <w:rPr>
                <w:rFonts w:hint="default" w:ascii="Times New Roman" w:hAnsi="Times New Roman" w:eastAsia="宋体" w:cs="Times New Roman"/>
                <w:sz w:val="15"/>
                <w:szCs w:val="15"/>
              </w:rPr>
            </w:pPr>
            <w:r>
              <w:rPr>
                <w:rFonts w:hint="default" w:ascii="Times New Roman" w:hAnsi="Times New Roman" w:eastAsia="宋体" w:cs="Times New Roman"/>
                <w:sz w:val="15"/>
                <w:szCs w:val="15"/>
              </w:rPr>
              <w:t>－</w:t>
            </w:r>
          </w:p>
        </w:tc>
        <w:tc>
          <w:tcPr>
            <w:tcW w:w="966" w:type="dxa"/>
            <w:vAlign w:val="center"/>
          </w:tcPr>
          <w:p w14:paraId="5DBB819D">
            <w:pPr>
              <w:jc w:val="center"/>
              <w:rPr>
                <w:rFonts w:hint="default" w:ascii="Times New Roman" w:hAnsi="Times New Roman" w:eastAsia="宋体" w:cs="Times New Roman"/>
                <w:sz w:val="15"/>
                <w:szCs w:val="15"/>
              </w:rPr>
            </w:pPr>
            <w:r>
              <w:rPr>
                <w:rFonts w:hint="default" w:ascii="Times New Roman" w:hAnsi="Times New Roman" w:eastAsia="宋体" w:cs="Times New Roman"/>
                <w:b/>
                <w:sz w:val="15"/>
                <w:szCs w:val="15"/>
              </w:rPr>
              <w:t>－</w:t>
            </w:r>
          </w:p>
        </w:tc>
        <w:tc>
          <w:tcPr>
            <w:tcW w:w="946" w:type="dxa"/>
            <w:gridSpan w:val="2"/>
            <w:vAlign w:val="center"/>
          </w:tcPr>
          <w:p w14:paraId="6763C0BC">
            <w:pPr>
              <w:jc w:val="center"/>
              <w:rPr>
                <w:rFonts w:hint="default" w:ascii="Times New Roman" w:hAnsi="Times New Roman" w:eastAsia="宋体" w:cs="Times New Roman"/>
                <w:sz w:val="15"/>
                <w:szCs w:val="15"/>
              </w:rPr>
            </w:pPr>
            <w:r>
              <w:rPr>
                <w:rFonts w:hint="default" w:ascii="Times New Roman" w:hAnsi="Times New Roman" w:eastAsia="宋体" w:cs="Times New Roman"/>
                <w:b/>
                <w:sz w:val="15"/>
                <w:szCs w:val="15"/>
              </w:rPr>
              <w:t>－</w:t>
            </w:r>
          </w:p>
        </w:tc>
        <w:tc>
          <w:tcPr>
            <w:tcW w:w="936" w:type="dxa"/>
            <w:vAlign w:val="center"/>
          </w:tcPr>
          <w:p w14:paraId="6ACEBCBD">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w:t>
            </w:r>
          </w:p>
        </w:tc>
        <w:tc>
          <w:tcPr>
            <w:tcW w:w="1111" w:type="dxa"/>
            <w:vAlign w:val="center"/>
          </w:tcPr>
          <w:p w14:paraId="76D04C5C">
            <w:pPr>
              <w:jc w:val="center"/>
              <w:rPr>
                <w:rFonts w:hint="default" w:ascii="Times New Roman" w:hAnsi="Times New Roman" w:eastAsia="宋体" w:cs="Times New Roman"/>
                <w:sz w:val="15"/>
                <w:szCs w:val="15"/>
              </w:rPr>
            </w:pPr>
            <w:r>
              <w:rPr>
                <w:rFonts w:hint="default" w:ascii="Times New Roman" w:hAnsi="Times New Roman" w:eastAsia="宋体" w:cs="Times New Roman"/>
                <w:b/>
                <w:sz w:val="15"/>
                <w:szCs w:val="15"/>
              </w:rPr>
              <w:t>－</w:t>
            </w:r>
          </w:p>
        </w:tc>
        <w:tc>
          <w:tcPr>
            <w:tcW w:w="2052" w:type="dxa"/>
            <w:vAlign w:val="center"/>
          </w:tcPr>
          <w:p w14:paraId="1F85AE4E">
            <w:pPr>
              <w:jc w:val="center"/>
              <w:rPr>
                <w:rFonts w:hint="default" w:ascii="Times New Roman" w:hAnsi="Times New Roman" w:eastAsia="宋体" w:cs="Times New Roman"/>
                <w:sz w:val="15"/>
                <w:szCs w:val="15"/>
              </w:rPr>
            </w:pPr>
            <w:r>
              <w:rPr>
                <w:rFonts w:hint="default" w:ascii="Times New Roman" w:hAnsi="Times New Roman" w:eastAsia="宋体" w:cs="Times New Roman"/>
                <w:b/>
                <w:sz w:val="15"/>
                <w:szCs w:val="15"/>
              </w:rPr>
              <w:t>－</w:t>
            </w:r>
          </w:p>
        </w:tc>
        <w:tc>
          <w:tcPr>
            <w:tcW w:w="964" w:type="dxa"/>
            <w:vAlign w:val="center"/>
          </w:tcPr>
          <w:p w14:paraId="28DC8617">
            <w:pPr>
              <w:jc w:val="center"/>
              <w:rPr>
                <w:rFonts w:hint="default" w:ascii="Times New Roman" w:hAnsi="Times New Roman" w:eastAsia="宋体" w:cs="Times New Roman"/>
                <w:color w:val="000000" w:themeColor="text1"/>
                <w:sz w:val="15"/>
                <w:szCs w:val="15"/>
                <w14:textFill>
                  <w14:solidFill>
                    <w14:schemeClr w14:val="tx1"/>
                  </w14:solidFill>
                </w14:textFill>
              </w:rPr>
            </w:pPr>
            <w:r>
              <w:rPr>
                <w:rFonts w:hint="default" w:ascii="Times New Roman" w:hAnsi="Times New Roman" w:eastAsia="宋体" w:cs="Times New Roman"/>
                <w:b/>
                <w:sz w:val="15"/>
                <w:szCs w:val="15"/>
              </w:rPr>
              <w:t>－</w:t>
            </w:r>
          </w:p>
        </w:tc>
        <w:tc>
          <w:tcPr>
            <w:tcW w:w="922" w:type="dxa"/>
            <w:gridSpan w:val="2"/>
            <w:vAlign w:val="center"/>
          </w:tcPr>
          <w:p w14:paraId="7C4A8E4E">
            <w:pPr>
              <w:jc w:val="center"/>
              <w:rPr>
                <w:rFonts w:hint="default" w:ascii="Times New Roman" w:hAnsi="Times New Roman" w:eastAsia="宋体" w:cs="Times New Roman"/>
                <w:color w:val="000000" w:themeColor="text1"/>
                <w:sz w:val="15"/>
                <w:szCs w:val="15"/>
                <w14:textFill>
                  <w14:solidFill>
                    <w14:schemeClr w14:val="tx1"/>
                  </w14:solidFill>
                </w14:textFill>
              </w:rPr>
            </w:pPr>
            <w:r>
              <w:rPr>
                <w:rFonts w:hint="default" w:ascii="Times New Roman" w:hAnsi="Times New Roman" w:eastAsia="宋体" w:cs="Times New Roman"/>
                <w:b/>
                <w:sz w:val="15"/>
                <w:szCs w:val="15"/>
              </w:rPr>
              <w:t>－</w:t>
            </w:r>
          </w:p>
        </w:tc>
        <w:tc>
          <w:tcPr>
            <w:tcW w:w="931" w:type="dxa"/>
            <w:vAlign w:val="center"/>
          </w:tcPr>
          <w:p w14:paraId="62590BF5">
            <w:pPr>
              <w:jc w:val="center"/>
              <w:rPr>
                <w:rFonts w:hint="default" w:ascii="Times New Roman" w:hAnsi="Times New Roman" w:eastAsia="宋体" w:cs="Times New Roman"/>
                <w:color w:val="000000" w:themeColor="text1"/>
                <w:sz w:val="15"/>
                <w:szCs w:val="15"/>
                <w14:textFill>
                  <w14:solidFill>
                    <w14:schemeClr w14:val="tx1"/>
                  </w14:solidFill>
                </w14:textFill>
              </w:rPr>
            </w:pPr>
            <w:r>
              <w:rPr>
                <w:rFonts w:hint="default" w:ascii="Times New Roman" w:hAnsi="Times New Roman" w:eastAsia="宋体" w:cs="Times New Roman"/>
                <w:b/>
                <w:sz w:val="15"/>
                <w:szCs w:val="15"/>
              </w:rPr>
              <w:t>－</w:t>
            </w:r>
          </w:p>
        </w:tc>
        <w:tc>
          <w:tcPr>
            <w:tcW w:w="910" w:type="dxa"/>
            <w:vAlign w:val="center"/>
          </w:tcPr>
          <w:p w14:paraId="29835668">
            <w:pPr>
              <w:jc w:val="center"/>
              <w:rPr>
                <w:rFonts w:hint="default" w:ascii="Times New Roman" w:hAnsi="Times New Roman" w:eastAsia="宋体" w:cs="Times New Roman"/>
                <w:b/>
                <w:bCs/>
                <w:color w:val="000000" w:themeColor="text1"/>
                <w:sz w:val="15"/>
                <w:szCs w:val="15"/>
                <w14:textFill>
                  <w14:solidFill>
                    <w14:schemeClr w14:val="tx1"/>
                  </w14:solidFill>
                </w14:textFill>
              </w:rPr>
            </w:pPr>
            <w:r>
              <w:rPr>
                <w:rFonts w:hint="default" w:ascii="Times New Roman" w:hAnsi="Times New Roman" w:eastAsia="宋体" w:cs="Times New Roman"/>
                <w:b/>
                <w:sz w:val="15"/>
                <w:szCs w:val="15"/>
              </w:rPr>
              <w:t>－</w:t>
            </w:r>
          </w:p>
        </w:tc>
      </w:tr>
      <w:tr w14:paraId="307A18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1" w:hRule="atLeast"/>
          <w:jc w:val="center"/>
        </w:trPr>
        <w:tc>
          <w:tcPr>
            <w:tcW w:w="684" w:type="dxa"/>
            <w:gridSpan w:val="2"/>
            <w:vMerge w:val="continue"/>
            <w:vAlign w:val="center"/>
          </w:tcPr>
          <w:p w14:paraId="2DA484BF">
            <w:pPr>
              <w:rPr>
                <w:rFonts w:hint="default" w:ascii="Times New Roman" w:hAnsi="Times New Roman" w:eastAsia="宋体" w:cs="Times New Roman"/>
                <w:sz w:val="15"/>
                <w:szCs w:val="15"/>
              </w:rPr>
            </w:pPr>
          </w:p>
        </w:tc>
        <w:tc>
          <w:tcPr>
            <w:tcW w:w="1590" w:type="dxa"/>
            <w:vAlign w:val="center"/>
          </w:tcPr>
          <w:p w14:paraId="1B782412">
            <w:pPr>
              <w:jc w:val="center"/>
              <w:rPr>
                <w:rFonts w:hint="default" w:ascii="Times New Roman" w:hAnsi="Times New Roman" w:eastAsia="宋体" w:cs="Times New Roman"/>
                <w:b/>
                <w:sz w:val="15"/>
                <w:szCs w:val="15"/>
                <w:lang w:val="en-US" w:eastAsia="zh-CN"/>
              </w:rPr>
            </w:pPr>
            <w:r>
              <w:rPr>
                <w:rFonts w:hint="eastAsia" w:ascii="Times New Roman" w:hAnsi="Times New Roman" w:eastAsia="宋体" w:cs="Times New Roman"/>
                <w:b/>
                <w:sz w:val="15"/>
                <w:szCs w:val="15"/>
                <w:lang w:val="en-US" w:eastAsia="zh-CN"/>
              </w:rPr>
              <w:t>非甲烷总烃</w:t>
            </w:r>
          </w:p>
        </w:tc>
        <w:tc>
          <w:tcPr>
            <w:tcW w:w="726" w:type="dxa"/>
            <w:vAlign w:val="center"/>
          </w:tcPr>
          <w:p w14:paraId="0BD13E71">
            <w:pPr>
              <w:jc w:val="center"/>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0.067337</w:t>
            </w:r>
          </w:p>
        </w:tc>
        <w:tc>
          <w:tcPr>
            <w:tcW w:w="1012" w:type="dxa"/>
            <w:vAlign w:val="center"/>
          </w:tcPr>
          <w:p w14:paraId="0A1894C5">
            <w:pPr>
              <w:jc w:val="center"/>
              <w:rPr>
                <w:rFonts w:hint="default" w:ascii="Times New Roman" w:hAnsi="Times New Roman" w:eastAsia="宋体" w:cs="Times New Roman"/>
                <w:b w:val="0"/>
                <w:bCs w:val="0"/>
                <w:sz w:val="15"/>
                <w:szCs w:val="15"/>
                <w:lang w:val="en-US" w:eastAsia="zh-CN"/>
              </w:rPr>
            </w:pPr>
            <w:r>
              <w:rPr>
                <w:rFonts w:hint="eastAsia" w:ascii="Times New Roman" w:hAnsi="Times New Roman" w:eastAsia="宋体" w:cs="Times New Roman"/>
                <w:b w:val="0"/>
                <w:bCs w:val="0"/>
                <w:sz w:val="15"/>
                <w:szCs w:val="15"/>
                <w:lang w:val="en-US" w:eastAsia="zh-CN"/>
              </w:rPr>
              <w:t>1.1</w:t>
            </w:r>
          </w:p>
        </w:tc>
        <w:tc>
          <w:tcPr>
            <w:tcW w:w="979" w:type="dxa"/>
            <w:vAlign w:val="center"/>
          </w:tcPr>
          <w:p w14:paraId="261220B3">
            <w:pPr>
              <w:jc w:val="center"/>
              <w:rPr>
                <w:rFonts w:hint="default" w:ascii="Times New Roman" w:hAnsi="Times New Roman" w:eastAsia="宋体" w:cs="Times New Roman"/>
                <w:b w:val="0"/>
                <w:bCs w:val="0"/>
                <w:sz w:val="15"/>
                <w:szCs w:val="15"/>
                <w:lang w:val="en-US" w:eastAsia="zh-CN"/>
              </w:rPr>
            </w:pPr>
            <w:r>
              <w:rPr>
                <w:rFonts w:hint="eastAsia" w:ascii="Times New Roman" w:hAnsi="Times New Roman" w:eastAsia="宋体" w:cs="Times New Roman"/>
                <w:b w:val="0"/>
                <w:bCs w:val="0"/>
                <w:sz w:val="15"/>
                <w:szCs w:val="15"/>
                <w:lang w:val="en-US" w:eastAsia="zh-CN"/>
              </w:rPr>
              <w:t>50</w:t>
            </w:r>
          </w:p>
        </w:tc>
        <w:tc>
          <w:tcPr>
            <w:tcW w:w="966" w:type="dxa"/>
            <w:vAlign w:val="center"/>
          </w:tcPr>
          <w:p w14:paraId="1CDE88C2">
            <w:pPr>
              <w:jc w:val="center"/>
              <w:rPr>
                <w:rFonts w:hint="default" w:ascii="Times New Roman" w:hAnsi="Times New Roman" w:eastAsia="宋体" w:cs="Times New Roman"/>
                <w:b w:val="0"/>
                <w:bCs w:val="0"/>
                <w:sz w:val="15"/>
                <w:szCs w:val="15"/>
                <w:lang w:val="en-US" w:eastAsia="zh-CN"/>
              </w:rPr>
            </w:pPr>
            <w:r>
              <w:rPr>
                <w:rFonts w:hint="default" w:ascii="Times New Roman" w:hAnsi="Times New Roman" w:eastAsia="宋体" w:cs="Times New Roman"/>
                <w:b w:val="0"/>
                <w:bCs w:val="0"/>
                <w:sz w:val="15"/>
                <w:szCs w:val="15"/>
                <w:lang w:val="en-US" w:eastAsia="zh-CN"/>
              </w:rPr>
              <w:t>－</w:t>
            </w:r>
          </w:p>
        </w:tc>
        <w:tc>
          <w:tcPr>
            <w:tcW w:w="946" w:type="dxa"/>
            <w:gridSpan w:val="2"/>
            <w:vAlign w:val="center"/>
          </w:tcPr>
          <w:p w14:paraId="64C0F9B8">
            <w:pPr>
              <w:jc w:val="center"/>
              <w:rPr>
                <w:rFonts w:hint="default" w:ascii="Times New Roman" w:hAnsi="Times New Roman" w:eastAsia="宋体" w:cs="Times New Roman"/>
                <w:b w:val="0"/>
                <w:bCs w:val="0"/>
                <w:sz w:val="15"/>
                <w:szCs w:val="15"/>
                <w:lang w:val="en-US" w:eastAsia="zh-CN"/>
              </w:rPr>
            </w:pPr>
            <w:r>
              <w:rPr>
                <w:rFonts w:hint="default" w:ascii="Times New Roman" w:hAnsi="Times New Roman" w:eastAsia="宋体" w:cs="Times New Roman"/>
                <w:b w:val="0"/>
                <w:bCs w:val="0"/>
                <w:sz w:val="15"/>
                <w:szCs w:val="15"/>
                <w:lang w:val="en-US" w:eastAsia="zh-CN"/>
              </w:rPr>
              <w:t>－</w:t>
            </w:r>
          </w:p>
        </w:tc>
        <w:tc>
          <w:tcPr>
            <w:tcW w:w="936" w:type="dxa"/>
            <w:vAlign w:val="center"/>
          </w:tcPr>
          <w:p w14:paraId="21B15DFF">
            <w:pPr>
              <w:jc w:val="center"/>
              <w:rPr>
                <w:rFonts w:hint="default" w:ascii="Times New Roman" w:hAnsi="Times New Roman" w:eastAsia="宋体" w:cs="Times New Roman"/>
                <w:b w:val="0"/>
                <w:bCs w:val="0"/>
                <w:sz w:val="15"/>
                <w:szCs w:val="15"/>
                <w:lang w:val="en-US" w:eastAsia="zh-CN"/>
              </w:rPr>
            </w:pPr>
            <w:r>
              <w:rPr>
                <w:rFonts w:hint="eastAsia" w:ascii="Times New Roman" w:hAnsi="Times New Roman" w:eastAsia="宋体" w:cs="Times New Roman"/>
                <w:b w:val="0"/>
                <w:bCs w:val="0"/>
                <w:sz w:val="15"/>
                <w:szCs w:val="15"/>
                <w:lang w:val="en-US" w:eastAsia="zh-CN"/>
              </w:rPr>
              <w:t>0.0038584</w:t>
            </w:r>
          </w:p>
        </w:tc>
        <w:tc>
          <w:tcPr>
            <w:tcW w:w="1111" w:type="dxa"/>
            <w:vAlign w:val="center"/>
          </w:tcPr>
          <w:p w14:paraId="3AF27C93">
            <w:pPr>
              <w:jc w:val="center"/>
              <w:rPr>
                <w:rFonts w:hint="default" w:ascii="Times New Roman" w:hAnsi="Times New Roman" w:eastAsia="宋体" w:cs="Times New Roman"/>
                <w:b w:val="0"/>
                <w:bCs w:val="0"/>
                <w:sz w:val="15"/>
                <w:szCs w:val="15"/>
                <w:lang w:val="en-US" w:eastAsia="zh-CN"/>
              </w:rPr>
            </w:pPr>
            <w:r>
              <w:rPr>
                <w:rFonts w:hint="default" w:ascii="Times New Roman" w:hAnsi="Times New Roman" w:eastAsia="宋体" w:cs="Times New Roman"/>
                <w:b w:val="0"/>
                <w:bCs w:val="0"/>
                <w:sz w:val="15"/>
                <w:szCs w:val="15"/>
                <w:lang w:val="en-US" w:eastAsia="zh-CN"/>
              </w:rPr>
              <w:t>－</w:t>
            </w:r>
          </w:p>
        </w:tc>
        <w:tc>
          <w:tcPr>
            <w:tcW w:w="2052" w:type="dxa"/>
            <w:vAlign w:val="center"/>
          </w:tcPr>
          <w:p w14:paraId="749DA19F">
            <w:pPr>
              <w:jc w:val="center"/>
              <w:rPr>
                <w:rFonts w:hint="default" w:ascii="Times New Roman" w:hAnsi="Times New Roman" w:eastAsia="宋体" w:cs="Times New Roman"/>
                <w:b w:val="0"/>
                <w:bCs w:val="0"/>
                <w:sz w:val="15"/>
                <w:szCs w:val="15"/>
                <w:lang w:val="en-US" w:eastAsia="zh-CN"/>
              </w:rPr>
            </w:pPr>
            <w:r>
              <w:rPr>
                <w:rFonts w:hint="default" w:ascii="Times New Roman" w:hAnsi="Times New Roman" w:eastAsia="宋体" w:cs="Times New Roman"/>
                <w:b w:val="0"/>
                <w:bCs w:val="0"/>
                <w:sz w:val="15"/>
                <w:szCs w:val="15"/>
                <w:lang w:val="en-US" w:eastAsia="zh-CN"/>
              </w:rPr>
              <w:t>－</w:t>
            </w:r>
          </w:p>
        </w:tc>
        <w:tc>
          <w:tcPr>
            <w:tcW w:w="964" w:type="dxa"/>
            <w:vAlign w:val="center"/>
          </w:tcPr>
          <w:p w14:paraId="20D177D3">
            <w:pPr>
              <w:jc w:val="center"/>
              <w:rPr>
                <w:rFonts w:hint="default" w:ascii="Times New Roman" w:hAnsi="Times New Roman" w:eastAsia="宋体" w:cs="Times New Roman"/>
                <w:b w:val="0"/>
                <w:bCs w:val="0"/>
                <w:sz w:val="15"/>
                <w:szCs w:val="15"/>
                <w:lang w:val="en-US" w:eastAsia="zh-CN"/>
              </w:rPr>
            </w:pPr>
            <w:r>
              <w:rPr>
                <w:rFonts w:hint="eastAsia" w:ascii="Times New Roman" w:hAnsi="Times New Roman" w:eastAsia="宋体" w:cs="Times New Roman"/>
                <w:b w:val="0"/>
                <w:bCs w:val="0"/>
                <w:sz w:val="15"/>
                <w:szCs w:val="15"/>
                <w:lang w:val="en-US" w:eastAsia="zh-CN"/>
              </w:rPr>
              <w:t>0.0711954</w:t>
            </w:r>
          </w:p>
        </w:tc>
        <w:tc>
          <w:tcPr>
            <w:tcW w:w="922" w:type="dxa"/>
            <w:gridSpan w:val="2"/>
            <w:vAlign w:val="center"/>
          </w:tcPr>
          <w:p w14:paraId="66E962D3">
            <w:pPr>
              <w:jc w:val="center"/>
              <w:rPr>
                <w:rFonts w:hint="default" w:ascii="Times New Roman" w:hAnsi="Times New Roman" w:eastAsia="宋体" w:cs="Times New Roman"/>
                <w:b w:val="0"/>
                <w:bCs w:val="0"/>
                <w:sz w:val="15"/>
                <w:szCs w:val="15"/>
                <w:lang w:val="en-US" w:eastAsia="zh-CN"/>
              </w:rPr>
            </w:pPr>
            <w:r>
              <w:rPr>
                <w:rFonts w:hint="default" w:ascii="Times New Roman" w:hAnsi="Times New Roman" w:eastAsia="宋体" w:cs="Times New Roman"/>
                <w:b w:val="0"/>
                <w:bCs w:val="0"/>
                <w:sz w:val="15"/>
                <w:szCs w:val="15"/>
                <w:lang w:val="en-US" w:eastAsia="zh-CN"/>
              </w:rPr>
              <w:t>－</w:t>
            </w:r>
          </w:p>
        </w:tc>
        <w:tc>
          <w:tcPr>
            <w:tcW w:w="931" w:type="dxa"/>
            <w:vAlign w:val="center"/>
          </w:tcPr>
          <w:p w14:paraId="61E8E272">
            <w:pPr>
              <w:jc w:val="center"/>
              <w:rPr>
                <w:rFonts w:hint="default" w:ascii="Times New Roman" w:hAnsi="Times New Roman" w:eastAsia="宋体" w:cs="Times New Roman"/>
                <w:b w:val="0"/>
                <w:bCs w:val="0"/>
                <w:sz w:val="15"/>
                <w:szCs w:val="15"/>
                <w:lang w:val="en-US" w:eastAsia="zh-CN"/>
              </w:rPr>
            </w:pPr>
            <w:r>
              <w:rPr>
                <w:rFonts w:hint="default" w:ascii="Times New Roman" w:hAnsi="Times New Roman" w:eastAsia="宋体" w:cs="Times New Roman"/>
                <w:b w:val="0"/>
                <w:bCs w:val="0"/>
                <w:sz w:val="15"/>
                <w:szCs w:val="15"/>
                <w:lang w:val="en-US" w:eastAsia="zh-CN"/>
              </w:rPr>
              <w:t>－</w:t>
            </w:r>
          </w:p>
        </w:tc>
        <w:tc>
          <w:tcPr>
            <w:tcW w:w="910" w:type="dxa"/>
            <w:vAlign w:val="center"/>
          </w:tcPr>
          <w:p w14:paraId="30A7E311">
            <w:pPr>
              <w:jc w:val="center"/>
              <w:rPr>
                <w:rFonts w:hint="default" w:ascii="Times New Roman" w:hAnsi="Times New Roman" w:eastAsia="宋体" w:cs="Times New Roman"/>
                <w:b w:val="0"/>
                <w:bCs w:val="0"/>
                <w:sz w:val="15"/>
                <w:szCs w:val="15"/>
                <w:lang w:val="en-US" w:eastAsia="zh-CN"/>
              </w:rPr>
            </w:pPr>
            <w:r>
              <w:rPr>
                <w:rFonts w:hint="eastAsia" w:ascii="Times New Roman" w:hAnsi="Times New Roman" w:eastAsia="宋体" w:cs="Times New Roman"/>
                <w:b w:val="0"/>
                <w:bCs w:val="0"/>
                <w:sz w:val="15"/>
                <w:szCs w:val="15"/>
                <w:lang w:val="en-US" w:eastAsia="zh-CN"/>
              </w:rPr>
              <w:t>+0.0038584</w:t>
            </w:r>
          </w:p>
        </w:tc>
      </w:tr>
      <w:tr w14:paraId="38F145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1" w:hRule="atLeast"/>
          <w:jc w:val="center"/>
        </w:trPr>
        <w:tc>
          <w:tcPr>
            <w:tcW w:w="684" w:type="dxa"/>
            <w:gridSpan w:val="2"/>
            <w:vMerge w:val="continue"/>
            <w:vAlign w:val="center"/>
          </w:tcPr>
          <w:p w14:paraId="377D613C">
            <w:pPr>
              <w:rPr>
                <w:rFonts w:hint="default" w:ascii="Times New Roman" w:hAnsi="Times New Roman" w:eastAsia="宋体" w:cs="Times New Roman"/>
                <w:sz w:val="15"/>
                <w:szCs w:val="15"/>
              </w:rPr>
            </w:pPr>
          </w:p>
        </w:tc>
        <w:tc>
          <w:tcPr>
            <w:tcW w:w="1590" w:type="dxa"/>
            <w:vAlign w:val="center"/>
          </w:tcPr>
          <w:p w14:paraId="2D50EA1A">
            <w:pPr>
              <w:jc w:val="center"/>
              <w:rPr>
                <w:rFonts w:hint="default" w:ascii="Times New Roman" w:hAnsi="Times New Roman" w:eastAsia="宋体" w:cs="Times New Roman"/>
                <w:b/>
                <w:sz w:val="15"/>
                <w:szCs w:val="15"/>
                <w:lang w:val="en-US" w:eastAsia="zh-CN"/>
              </w:rPr>
            </w:pPr>
            <w:r>
              <w:rPr>
                <w:rFonts w:hint="eastAsia" w:ascii="Times New Roman" w:hAnsi="Times New Roman" w:eastAsia="宋体" w:cs="Times New Roman"/>
                <w:b/>
                <w:sz w:val="15"/>
                <w:szCs w:val="15"/>
                <w:lang w:val="en-US" w:eastAsia="zh-CN"/>
              </w:rPr>
              <w:t>颗粒物</w:t>
            </w:r>
          </w:p>
        </w:tc>
        <w:tc>
          <w:tcPr>
            <w:tcW w:w="726" w:type="dxa"/>
            <w:vAlign w:val="center"/>
          </w:tcPr>
          <w:p w14:paraId="3A3C0A45">
            <w:pPr>
              <w:jc w:val="center"/>
              <w:rPr>
                <w:rFonts w:hint="default" w:ascii="Times New Roman" w:hAnsi="Times New Roman" w:eastAsia="宋体" w:cs="Times New Roman"/>
                <w:sz w:val="15"/>
                <w:szCs w:val="15"/>
              </w:rPr>
            </w:pPr>
          </w:p>
        </w:tc>
        <w:tc>
          <w:tcPr>
            <w:tcW w:w="1012" w:type="dxa"/>
            <w:vAlign w:val="center"/>
          </w:tcPr>
          <w:p w14:paraId="4B8FD581">
            <w:pPr>
              <w:jc w:val="center"/>
              <w:rPr>
                <w:rFonts w:hint="default" w:ascii="Times New Roman" w:hAnsi="Times New Roman" w:eastAsia="宋体" w:cs="Times New Roman"/>
                <w:b/>
                <w:sz w:val="15"/>
                <w:szCs w:val="15"/>
              </w:rPr>
            </w:pPr>
          </w:p>
        </w:tc>
        <w:tc>
          <w:tcPr>
            <w:tcW w:w="979" w:type="dxa"/>
            <w:vAlign w:val="center"/>
          </w:tcPr>
          <w:p w14:paraId="3D5123C2">
            <w:pPr>
              <w:jc w:val="center"/>
              <w:rPr>
                <w:rFonts w:hint="default" w:ascii="Times New Roman" w:hAnsi="Times New Roman" w:eastAsia="宋体" w:cs="Times New Roman"/>
                <w:b/>
                <w:sz w:val="15"/>
                <w:szCs w:val="15"/>
              </w:rPr>
            </w:pPr>
          </w:p>
        </w:tc>
        <w:tc>
          <w:tcPr>
            <w:tcW w:w="966" w:type="dxa"/>
            <w:vAlign w:val="center"/>
          </w:tcPr>
          <w:p w14:paraId="08C4E652">
            <w:pPr>
              <w:jc w:val="center"/>
              <w:rPr>
                <w:rFonts w:hint="default" w:ascii="Times New Roman" w:hAnsi="Times New Roman" w:eastAsia="宋体" w:cs="Times New Roman"/>
                <w:b/>
                <w:sz w:val="15"/>
                <w:szCs w:val="15"/>
              </w:rPr>
            </w:pPr>
          </w:p>
        </w:tc>
        <w:tc>
          <w:tcPr>
            <w:tcW w:w="946" w:type="dxa"/>
            <w:gridSpan w:val="2"/>
            <w:vAlign w:val="center"/>
          </w:tcPr>
          <w:p w14:paraId="731C85A1">
            <w:pPr>
              <w:jc w:val="center"/>
              <w:rPr>
                <w:rFonts w:hint="default" w:ascii="Times New Roman" w:hAnsi="Times New Roman" w:eastAsia="宋体" w:cs="Times New Roman"/>
                <w:b/>
                <w:sz w:val="15"/>
                <w:szCs w:val="15"/>
              </w:rPr>
            </w:pPr>
          </w:p>
        </w:tc>
        <w:tc>
          <w:tcPr>
            <w:tcW w:w="936" w:type="dxa"/>
            <w:vAlign w:val="center"/>
          </w:tcPr>
          <w:p w14:paraId="56B5E4DF">
            <w:pPr>
              <w:jc w:val="center"/>
              <w:rPr>
                <w:rFonts w:hint="default" w:ascii="Times New Roman" w:hAnsi="Times New Roman" w:eastAsia="宋体" w:cs="Times New Roman"/>
                <w:b/>
                <w:sz w:val="15"/>
                <w:szCs w:val="15"/>
              </w:rPr>
            </w:pPr>
          </w:p>
        </w:tc>
        <w:tc>
          <w:tcPr>
            <w:tcW w:w="1111" w:type="dxa"/>
            <w:vAlign w:val="center"/>
          </w:tcPr>
          <w:p w14:paraId="4D6B1575">
            <w:pPr>
              <w:jc w:val="center"/>
              <w:rPr>
                <w:rFonts w:hint="default" w:ascii="Times New Roman" w:hAnsi="Times New Roman" w:eastAsia="宋体" w:cs="Times New Roman"/>
                <w:b/>
                <w:sz w:val="15"/>
                <w:szCs w:val="15"/>
              </w:rPr>
            </w:pPr>
          </w:p>
        </w:tc>
        <w:tc>
          <w:tcPr>
            <w:tcW w:w="2052" w:type="dxa"/>
            <w:vAlign w:val="center"/>
          </w:tcPr>
          <w:p w14:paraId="64C1922B">
            <w:pPr>
              <w:jc w:val="center"/>
              <w:rPr>
                <w:rFonts w:hint="default" w:ascii="Times New Roman" w:hAnsi="Times New Roman" w:eastAsia="宋体" w:cs="Times New Roman"/>
                <w:b/>
                <w:sz w:val="15"/>
                <w:szCs w:val="15"/>
              </w:rPr>
            </w:pPr>
          </w:p>
        </w:tc>
        <w:tc>
          <w:tcPr>
            <w:tcW w:w="964" w:type="dxa"/>
            <w:vAlign w:val="center"/>
          </w:tcPr>
          <w:p w14:paraId="5CC376E3">
            <w:pPr>
              <w:jc w:val="center"/>
              <w:rPr>
                <w:rFonts w:hint="default" w:ascii="Times New Roman" w:hAnsi="Times New Roman" w:eastAsia="宋体" w:cs="Times New Roman"/>
                <w:b/>
                <w:sz w:val="15"/>
                <w:szCs w:val="15"/>
              </w:rPr>
            </w:pPr>
          </w:p>
        </w:tc>
        <w:tc>
          <w:tcPr>
            <w:tcW w:w="922" w:type="dxa"/>
            <w:gridSpan w:val="2"/>
            <w:vAlign w:val="center"/>
          </w:tcPr>
          <w:p w14:paraId="11C42A26">
            <w:pPr>
              <w:jc w:val="center"/>
              <w:rPr>
                <w:rFonts w:hint="default" w:ascii="Times New Roman" w:hAnsi="Times New Roman" w:eastAsia="宋体" w:cs="Times New Roman"/>
                <w:b/>
                <w:sz w:val="15"/>
                <w:szCs w:val="15"/>
              </w:rPr>
            </w:pPr>
          </w:p>
        </w:tc>
        <w:tc>
          <w:tcPr>
            <w:tcW w:w="931" w:type="dxa"/>
            <w:vAlign w:val="center"/>
          </w:tcPr>
          <w:p w14:paraId="4DEE4886">
            <w:pPr>
              <w:jc w:val="center"/>
              <w:rPr>
                <w:rFonts w:hint="default" w:ascii="Times New Roman" w:hAnsi="Times New Roman" w:eastAsia="宋体" w:cs="Times New Roman"/>
                <w:b/>
                <w:sz w:val="15"/>
                <w:szCs w:val="15"/>
              </w:rPr>
            </w:pPr>
          </w:p>
        </w:tc>
        <w:tc>
          <w:tcPr>
            <w:tcW w:w="910" w:type="dxa"/>
            <w:vAlign w:val="center"/>
          </w:tcPr>
          <w:p w14:paraId="1ED420CC">
            <w:pPr>
              <w:jc w:val="center"/>
              <w:rPr>
                <w:rFonts w:hint="default" w:ascii="Times New Roman" w:hAnsi="Times New Roman" w:eastAsia="宋体" w:cs="Times New Roman"/>
                <w:b/>
                <w:sz w:val="15"/>
                <w:szCs w:val="15"/>
              </w:rPr>
            </w:pPr>
          </w:p>
        </w:tc>
      </w:tr>
      <w:tr w14:paraId="740C4F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1" w:hRule="atLeast"/>
          <w:jc w:val="center"/>
        </w:trPr>
        <w:tc>
          <w:tcPr>
            <w:tcW w:w="684" w:type="dxa"/>
            <w:gridSpan w:val="2"/>
            <w:vMerge w:val="continue"/>
            <w:vAlign w:val="center"/>
          </w:tcPr>
          <w:p w14:paraId="1981658A">
            <w:pPr>
              <w:rPr>
                <w:rFonts w:hint="default" w:ascii="Times New Roman" w:hAnsi="Times New Roman" w:eastAsia="宋体" w:cs="Times New Roman"/>
                <w:sz w:val="15"/>
                <w:szCs w:val="15"/>
              </w:rPr>
            </w:pPr>
          </w:p>
        </w:tc>
        <w:tc>
          <w:tcPr>
            <w:tcW w:w="1590" w:type="dxa"/>
            <w:vAlign w:val="center"/>
          </w:tcPr>
          <w:p w14:paraId="1012BA07">
            <w:pPr>
              <w:jc w:val="center"/>
              <w:rPr>
                <w:rFonts w:hint="default" w:ascii="Times New Roman" w:hAnsi="Times New Roman" w:eastAsia="宋体" w:cs="Times New Roman"/>
                <w:b/>
                <w:sz w:val="15"/>
                <w:szCs w:val="15"/>
                <w:lang w:val="en-US" w:eastAsia="zh-CN"/>
              </w:rPr>
            </w:pPr>
            <w:r>
              <w:rPr>
                <w:rFonts w:hint="eastAsia" w:ascii="Times New Roman" w:hAnsi="Times New Roman" w:eastAsia="宋体" w:cs="Times New Roman"/>
                <w:b/>
                <w:sz w:val="15"/>
                <w:szCs w:val="15"/>
                <w:lang w:val="en-US" w:eastAsia="zh-CN"/>
              </w:rPr>
              <w:t>氯化氢</w:t>
            </w:r>
          </w:p>
        </w:tc>
        <w:tc>
          <w:tcPr>
            <w:tcW w:w="726" w:type="dxa"/>
            <w:vAlign w:val="center"/>
          </w:tcPr>
          <w:p w14:paraId="3335C903">
            <w:pPr>
              <w:jc w:val="center"/>
              <w:rPr>
                <w:rFonts w:hint="default" w:ascii="Times New Roman" w:hAnsi="Times New Roman" w:eastAsia="宋体" w:cs="Times New Roman"/>
                <w:sz w:val="15"/>
                <w:szCs w:val="15"/>
              </w:rPr>
            </w:pPr>
          </w:p>
        </w:tc>
        <w:tc>
          <w:tcPr>
            <w:tcW w:w="1012" w:type="dxa"/>
            <w:vAlign w:val="center"/>
          </w:tcPr>
          <w:p w14:paraId="69E5EE8B">
            <w:pPr>
              <w:jc w:val="center"/>
              <w:rPr>
                <w:rFonts w:hint="default" w:ascii="Times New Roman" w:hAnsi="Times New Roman" w:eastAsia="宋体" w:cs="Times New Roman"/>
                <w:b/>
                <w:sz w:val="15"/>
                <w:szCs w:val="15"/>
              </w:rPr>
            </w:pPr>
          </w:p>
        </w:tc>
        <w:tc>
          <w:tcPr>
            <w:tcW w:w="979" w:type="dxa"/>
            <w:vAlign w:val="center"/>
          </w:tcPr>
          <w:p w14:paraId="737E405B">
            <w:pPr>
              <w:jc w:val="center"/>
              <w:rPr>
                <w:rFonts w:hint="default" w:ascii="Times New Roman" w:hAnsi="Times New Roman" w:eastAsia="宋体" w:cs="Times New Roman"/>
                <w:b/>
                <w:sz w:val="15"/>
                <w:szCs w:val="15"/>
              </w:rPr>
            </w:pPr>
          </w:p>
        </w:tc>
        <w:tc>
          <w:tcPr>
            <w:tcW w:w="966" w:type="dxa"/>
            <w:vAlign w:val="center"/>
          </w:tcPr>
          <w:p w14:paraId="05624685">
            <w:pPr>
              <w:jc w:val="center"/>
              <w:rPr>
                <w:rFonts w:hint="default" w:ascii="Times New Roman" w:hAnsi="Times New Roman" w:eastAsia="宋体" w:cs="Times New Roman"/>
                <w:b/>
                <w:sz w:val="15"/>
                <w:szCs w:val="15"/>
              </w:rPr>
            </w:pPr>
          </w:p>
        </w:tc>
        <w:tc>
          <w:tcPr>
            <w:tcW w:w="946" w:type="dxa"/>
            <w:gridSpan w:val="2"/>
            <w:vAlign w:val="center"/>
          </w:tcPr>
          <w:p w14:paraId="56C1FF13">
            <w:pPr>
              <w:jc w:val="center"/>
              <w:rPr>
                <w:rFonts w:hint="default" w:ascii="Times New Roman" w:hAnsi="Times New Roman" w:eastAsia="宋体" w:cs="Times New Roman"/>
                <w:b/>
                <w:sz w:val="15"/>
                <w:szCs w:val="15"/>
              </w:rPr>
            </w:pPr>
          </w:p>
        </w:tc>
        <w:tc>
          <w:tcPr>
            <w:tcW w:w="936" w:type="dxa"/>
            <w:vAlign w:val="center"/>
          </w:tcPr>
          <w:p w14:paraId="7126D335">
            <w:pPr>
              <w:jc w:val="center"/>
              <w:rPr>
                <w:rFonts w:hint="default" w:ascii="Times New Roman" w:hAnsi="Times New Roman" w:eastAsia="宋体" w:cs="Times New Roman"/>
                <w:b/>
                <w:sz w:val="15"/>
                <w:szCs w:val="15"/>
              </w:rPr>
            </w:pPr>
          </w:p>
        </w:tc>
        <w:tc>
          <w:tcPr>
            <w:tcW w:w="1111" w:type="dxa"/>
            <w:vAlign w:val="center"/>
          </w:tcPr>
          <w:p w14:paraId="5D94753A">
            <w:pPr>
              <w:jc w:val="center"/>
              <w:rPr>
                <w:rFonts w:hint="default" w:ascii="Times New Roman" w:hAnsi="Times New Roman" w:eastAsia="宋体" w:cs="Times New Roman"/>
                <w:b/>
                <w:sz w:val="15"/>
                <w:szCs w:val="15"/>
              </w:rPr>
            </w:pPr>
          </w:p>
        </w:tc>
        <w:tc>
          <w:tcPr>
            <w:tcW w:w="2052" w:type="dxa"/>
            <w:vAlign w:val="center"/>
          </w:tcPr>
          <w:p w14:paraId="2964DD56">
            <w:pPr>
              <w:jc w:val="center"/>
              <w:rPr>
                <w:rFonts w:hint="default" w:ascii="Times New Roman" w:hAnsi="Times New Roman" w:eastAsia="宋体" w:cs="Times New Roman"/>
                <w:b/>
                <w:sz w:val="15"/>
                <w:szCs w:val="15"/>
              </w:rPr>
            </w:pPr>
          </w:p>
        </w:tc>
        <w:tc>
          <w:tcPr>
            <w:tcW w:w="964" w:type="dxa"/>
            <w:vAlign w:val="center"/>
          </w:tcPr>
          <w:p w14:paraId="665EF99D">
            <w:pPr>
              <w:jc w:val="center"/>
              <w:rPr>
                <w:rFonts w:hint="default" w:ascii="Times New Roman" w:hAnsi="Times New Roman" w:eastAsia="宋体" w:cs="Times New Roman"/>
                <w:b/>
                <w:sz w:val="15"/>
                <w:szCs w:val="15"/>
              </w:rPr>
            </w:pPr>
          </w:p>
        </w:tc>
        <w:tc>
          <w:tcPr>
            <w:tcW w:w="922" w:type="dxa"/>
            <w:gridSpan w:val="2"/>
            <w:vAlign w:val="center"/>
          </w:tcPr>
          <w:p w14:paraId="571083A7">
            <w:pPr>
              <w:jc w:val="center"/>
              <w:rPr>
                <w:rFonts w:hint="default" w:ascii="Times New Roman" w:hAnsi="Times New Roman" w:eastAsia="宋体" w:cs="Times New Roman"/>
                <w:b/>
                <w:sz w:val="15"/>
                <w:szCs w:val="15"/>
              </w:rPr>
            </w:pPr>
          </w:p>
        </w:tc>
        <w:tc>
          <w:tcPr>
            <w:tcW w:w="931" w:type="dxa"/>
            <w:vAlign w:val="center"/>
          </w:tcPr>
          <w:p w14:paraId="178F60E3">
            <w:pPr>
              <w:jc w:val="center"/>
              <w:rPr>
                <w:rFonts w:hint="default" w:ascii="Times New Roman" w:hAnsi="Times New Roman" w:eastAsia="宋体" w:cs="Times New Roman"/>
                <w:b/>
                <w:sz w:val="15"/>
                <w:szCs w:val="15"/>
              </w:rPr>
            </w:pPr>
          </w:p>
        </w:tc>
        <w:tc>
          <w:tcPr>
            <w:tcW w:w="910" w:type="dxa"/>
            <w:vAlign w:val="center"/>
          </w:tcPr>
          <w:p w14:paraId="6F5774D0">
            <w:pPr>
              <w:jc w:val="center"/>
              <w:rPr>
                <w:rFonts w:hint="default" w:ascii="Times New Roman" w:hAnsi="Times New Roman" w:eastAsia="宋体" w:cs="Times New Roman"/>
                <w:b/>
                <w:sz w:val="15"/>
                <w:szCs w:val="15"/>
              </w:rPr>
            </w:pPr>
          </w:p>
        </w:tc>
      </w:tr>
      <w:tr w14:paraId="271863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1" w:hRule="atLeast"/>
          <w:jc w:val="center"/>
        </w:trPr>
        <w:tc>
          <w:tcPr>
            <w:tcW w:w="684" w:type="dxa"/>
            <w:gridSpan w:val="2"/>
            <w:vMerge w:val="continue"/>
            <w:vAlign w:val="center"/>
          </w:tcPr>
          <w:p w14:paraId="0181353A">
            <w:pPr>
              <w:rPr>
                <w:rFonts w:hint="default" w:ascii="Times New Roman" w:hAnsi="Times New Roman" w:eastAsia="宋体" w:cs="Times New Roman"/>
                <w:sz w:val="15"/>
                <w:szCs w:val="15"/>
              </w:rPr>
            </w:pPr>
          </w:p>
        </w:tc>
        <w:tc>
          <w:tcPr>
            <w:tcW w:w="1590" w:type="dxa"/>
            <w:vAlign w:val="center"/>
          </w:tcPr>
          <w:p w14:paraId="528A28D7">
            <w:pPr>
              <w:jc w:val="center"/>
              <w:rPr>
                <w:rFonts w:hint="default" w:ascii="Times New Roman" w:hAnsi="Times New Roman" w:eastAsia="宋体" w:cs="Times New Roman"/>
                <w:b/>
                <w:sz w:val="15"/>
                <w:szCs w:val="15"/>
                <w:lang w:val="en-US" w:eastAsia="zh-CN"/>
              </w:rPr>
            </w:pPr>
            <w:r>
              <w:rPr>
                <w:rFonts w:hint="eastAsia" w:ascii="Times New Roman" w:hAnsi="Times New Roman" w:eastAsia="宋体" w:cs="Times New Roman"/>
                <w:b/>
                <w:sz w:val="15"/>
                <w:szCs w:val="15"/>
                <w:lang w:val="en-US" w:eastAsia="zh-CN"/>
              </w:rPr>
              <w:t>甲醇</w:t>
            </w:r>
          </w:p>
        </w:tc>
        <w:tc>
          <w:tcPr>
            <w:tcW w:w="726" w:type="dxa"/>
            <w:vAlign w:val="center"/>
          </w:tcPr>
          <w:p w14:paraId="76FFD3F0">
            <w:pPr>
              <w:jc w:val="center"/>
              <w:rPr>
                <w:rFonts w:hint="default" w:ascii="Times New Roman" w:hAnsi="Times New Roman" w:eastAsia="宋体" w:cs="Times New Roman"/>
                <w:sz w:val="15"/>
                <w:szCs w:val="15"/>
              </w:rPr>
            </w:pPr>
          </w:p>
        </w:tc>
        <w:tc>
          <w:tcPr>
            <w:tcW w:w="1012" w:type="dxa"/>
            <w:vAlign w:val="center"/>
          </w:tcPr>
          <w:p w14:paraId="1D78F54F">
            <w:pPr>
              <w:jc w:val="center"/>
              <w:rPr>
                <w:rFonts w:hint="default" w:ascii="Times New Roman" w:hAnsi="Times New Roman" w:eastAsia="宋体" w:cs="Times New Roman"/>
                <w:b/>
                <w:sz w:val="15"/>
                <w:szCs w:val="15"/>
              </w:rPr>
            </w:pPr>
          </w:p>
        </w:tc>
        <w:tc>
          <w:tcPr>
            <w:tcW w:w="979" w:type="dxa"/>
            <w:vAlign w:val="center"/>
          </w:tcPr>
          <w:p w14:paraId="56B28B3A">
            <w:pPr>
              <w:jc w:val="center"/>
              <w:rPr>
                <w:rFonts w:hint="default" w:ascii="Times New Roman" w:hAnsi="Times New Roman" w:eastAsia="宋体" w:cs="Times New Roman"/>
                <w:b/>
                <w:sz w:val="15"/>
                <w:szCs w:val="15"/>
              </w:rPr>
            </w:pPr>
          </w:p>
        </w:tc>
        <w:tc>
          <w:tcPr>
            <w:tcW w:w="966" w:type="dxa"/>
            <w:vAlign w:val="center"/>
          </w:tcPr>
          <w:p w14:paraId="42497BFD">
            <w:pPr>
              <w:jc w:val="center"/>
              <w:rPr>
                <w:rFonts w:hint="default" w:ascii="Times New Roman" w:hAnsi="Times New Roman" w:eastAsia="宋体" w:cs="Times New Roman"/>
                <w:b/>
                <w:sz w:val="15"/>
                <w:szCs w:val="15"/>
              </w:rPr>
            </w:pPr>
          </w:p>
        </w:tc>
        <w:tc>
          <w:tcPr>
            <w:tcW w:w="946" w:type="dxa"/>
            <w:gridSpan w:val="2"/>
            <w:vAlign w:val="center"/>
          </w:tcPr>
          <w:p w14:paraId="20ED61B1">
            <w:pPr>
              <w:jc w:val="center"/>
              <w:rPr>
                <w:rFonts w:hint="default" w:ascii="Times New Roman" w:hAnsi="Times New Roman" w:eastAsia="宋体" w:cs="Times New Roman"/>
                <w:b/>
                <w:sz w:val="15"/>
                <w:szCs w:val="15"/>
              </w:rPr>
            </w:pPr>
          </w:p>
        </w:tc>
        <w:tc>
          <w:tcPr>
            <w:tcW w:w="936" w:type="dxa"/>
            <w:vAlign w:val="center"/>
          </w:tcPr>
          <w:p w14:paraId="31D57082">
            <w:pPr>
              <w:jc w:val="center"/>
              <w:rPr>
                <w:rFonts w:hint="default" w:ascii="Times New Roman" w:hAnsi="Times New Roman" w:eastAsia="宋体" w:cs="Times New Roman"/>
                <w:b/>
                <w:sz w:val="15"/>
                <w:szCs w:val="15"/>
              </w:rPr>
            </w:pPr>
          </w:p>
        </w:tc>
        <w:tc>
          <w:tcPr>
            <w:tcW w:w="1111" w:type="dxa"/>
            <w:vAlign w:val="center"/>
          </w:tcPr>
          <w:p w14:paraId="08DA18AE">
            <w:pPr>
              <w:jc w:val="center"/>
              <w:rPr>
                <w:rFonts w:hint="default" w:ascii="Times New Roman" w:hAnsi="Times New Roman" w:eastAsia="宋体" w:cs="Times New Roman"/>
                <w:b/>
                <w:sz w:val="15"/>
                <w:szCs w:val="15"/>
              </w:rPr>
            </w:pPr>
          </w:p>
        </w:tc>
        <w:tc>
          <w:tcPr>
            <w:tcW w:w="2052" w:type="dxa"/>
            <w:vAlign w:val="center"/>
          </w:tcPr>
          <w:p w14:paraId="048B372E">
            <w:pPr>
              <w:jc w:val="center"/>
              <w:rPr>
                <w:rFonts w:hint="default" w:ascii="Times New Roman" w:hAnsi="Times New Roman" w:eastAsia="宋体" w:cs="Times New Roman"/>
                <w:b/>
                <w:sz w:val="15"/>
                <w:szCs w:val="15"/>
              </w:rPr>
            </w:pPr>
          </w:p>
        </w:tc>
        <w:tc>
          <w:tcPr>
            <w:tcW w:w="964" w:type="dxa"/>
            <w:vAlign w:val="center"/>
          </w:tcPr>
          <w:p w14:paraId="7686E8B1">
            <w:pPr>
              <w:jc w:val="center"/>
              <w:rPr>
                <w:rFonts w:hint="default" w:ascii="Times New Roman" w:hAnsi="Times New Roman" w:eastAsia="宋体" w:cs="Times New Roman"/>
                <w:b/>
                <w:sz w:val="15"/>
                <w:szCs w:val="15"/>
              </w:rPr>
            </w:pPr>
          </w:p>
        </w:tc>
        <w:tc>
          <w:tcPr>
            <w:tcW w:w="922" w:type="dxa"/>
            <w:gridSpan w:val="2"/>
            <w:vAlign w:val="center"/>
          </w:tcPr>
          <w:p w14:paraId="0DBF88EF">
            <w:pPr>
              <w:jc w:val="center"/>
              <w:rPr>
                <w:rFonts w:hint="default" w:ascii="Times New Roman" w:hAnsi="Times New Roman" w:eastAsia="宋体" w:cs="Times New Roman"/>
                <w:b/>
                <w:sz w:val="15"/>
                <w:szCs w:val="15"/>
              </w:rPr>
            </w:pPr>
          </w:p>
        </w:tc>
        <w:tc>
          <w:tcPr>
            <w:tcW w:w="931" w:type="dxa"/>
            <w:vAlign w:val="center"/>
          </w:tcPr>
          <w:p w14:paraId="2CBAD07E">
            <w:pPr>
              <w:jc w:val="center"/>
              <w:rPr>
                <w:rFonts w:hint="default" w:ascii="Times New Roman" w:hAnsi="Times New Roman" w:eastAsia="宋体" w:cs="Times New Roman"/>
                <w:b/>
                <w:sz w:val="15"/>
                <w:szCs w:val="15"/>
              </w:rPr>
            </w:pPr>
          </w:p>
        </w:tc>
        <w:tc>
          <w:tcPr>
            <w:tcW w:w="910" w:type="dxa"/>
            <w:vAlign w:val="center"/>
          </w:tcPr>
          <w:p w14:paraId="0ACC6860">
            <w:pPr>
              <w:jc w:val="center"/>
              <w:rPr>
                <w:rFonts w:hint="default" w:ascii="Times New Roman" w:hAnsi="Times New Roman" w:eastAsia="宋体" w:cs="Times New Roman"/>
                <w:b/>
                <w:sz w:val="15"/>
                <w:szCs w:val="15"/>
              </w:rPr>
            </w:pPr>
          </w:p>
        </w:tc>
      </w:tr>
      <w:tr w14:paraId="7812E7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1" w:hRule="atLeast"/>
          <w:jc w:val="center"/>
        </w:trPr>
        <w:tc>
          <w:tcPr>
            <w:tcW w:w="684" w:type="dxa"/>
            <w:gridSpan w:val="2"/>
            <w:vMerge w:val="continue"/>
            <w:vAlign w:val="center"/>
          </w:tcPr>
          <w:p w14:paraId="3BF91C6D">
            <w:pPr>
              <w:rPr>
                <w:rFonts w:hint="default" w:ascii="Times New Roman" w:hAnsi="Times New Roman" w:eastAsia="宋体" w:cs="Times New Roman"/>
                <w:sz w:val="15"/>
                <w:szCs w:val="15"/>
              </w:rPr>
            </w:pPr>
          </w:p>
        </w:tc>
        <w:tc>
          <w:tcPr>
            <w:tcW w:w="1590" w:type="dxa"/>
            <w:vAlign w:val="center"/>
          </w:tcPr>
          <w:p w14:paraId="7762AE6F">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工业固体废物</w:t>
            </w:r>
          </w:p>
        </w:tc>
        <w:tc>
          <w:tcPr>
            <w:tcW w:w="726" w:type="dxa"/>
            <w:vAlign w:val="center"/>
          </w:tcPr>
          <w:p w14:paraId="7302540D">
            <w:pPr>
              <w:jc w:val="center"/>
              <w:rPr>
                <w:rFonts w:hint="default" w:ascii="Times New Roman" w:hAnsi="Times New Roman" w:eastAsia="宋体" w:cs="Times New Roman"/>
                <w:sz w:val="15"/>
                <w:szCs w:val="15"/>
              </w:rPr>
            </w:pPr>
            <w:r>
              <w:rPr>
                <w:rFonts w:hint="default" w:ascii="Times New Roman" w:hAnsi="Times New Roman" w:eastAsia="宋体" w:cs="Times New Roman"/>
                <w:sz w:val="15"/>
                <w:szCs w:val="15"/>
              </w:rPr>
              <w:t>－</w:t>
            </w:r>
          </w:p>
        </w:tc>
        <w:tc>
          <w:tcPr>
            <w:tcW w:w="1012" w:type="dxa"/>
            <w:vAlign w:val="center"/>
          </w:tcPr>
          <w:p w14:paraId="0FF4C34E">
            <w:pPr>
              <w:jc w:val="center"/>
              <w:rPr>
                <w:rFonts w:hint="default" w:ascii="Times New Roman" w:hAnsi="Times New Roman" w:eastAsia="宋体" w:cs="Times New Roman"/>
                <w:sz w:val="15"/>
                <w:szCs w:val="15"/>
              </w:rPr>
            </w:pPr>
            <w:r>
              <w:rPr>
                <w:rFonts w:hint="default" w:ascii="Times New Roman" w:hAnsi="Times New Roman" w:eastAsia="宋体" w:cs="Times New Roman"/>
                <w:sz w:val="15"/>
                <w:szCs w:val="15"/>
              </w:rPr>
              <w:t>－</w:t>
            </w:r>
          </w:p>
        </w:tc>
        <w:tc>
          <w:tcPr>
            <w:tcW w:w="979" w:type="dxa"/>
            <w:vAlign w:val="center"/>
          </w:tcPr>
          <w:p w14:paraId="0D8E7472">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w:t>
            </w:r>
          </w:p>
        </w:tc>
        <w:tc>
          <w:tcPr>
            <w:tcW w:w="966" w:type="dxa"/>
            <w:vAlign w:val="center"/>
          </w:tcPr>
          <w:p w14:paraId="4FBD399E">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w:t>
            </w:r>
          </w:p>
        </w:tc>
        <w:tc>
          <w:tcPr>
            <w:tcW w:w="946" w:type="dxa"/>
            <w:gridSpan w:val="2"/>
            <w:vAlign w:val="center"/>
          </w:tcPr>
          <w:p w14:paraId="64866A41">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w:t>
            </w:r>
          </w:p>
        </w:tc>
        <w:tc>
          <w:tcPr>
            <w:tcW w:w="936" w:type="dxa"/>
            <w:vAlign w:val="center"/>
          </w:tcPr>
          <w:p w14:paraId="349162F2">
            <w:pPr>
              <w:jc w:val="center"/>
              <w:rPr>
                <w:rFonts w:hint="default" w:ascii="Times New Roman" w:hAnsi="Times New Roman" w:eastAsia="宋体" w:cs="Times New Roman"/>
                <w:b/>
                <w:sz w:val="15"/>
                <w:szCs w:val="15"/>
                <w:lang w:val="en-US" w:eastAsia="zh-CN"/>
              </w:rPr>
            </w:pPr>
            <w:r>
              <w:rPr>
                <w:rFonts w:hint="default" w:ascii="Times New Roman" w:hAnsi="Times New Roman" w:eastAsia="宋体" w:cs="Times New Roman"/>
                <w:b/>
                <w:sz w:val="15"/>
                <w:szCs w:val="15"/>
              </w:rPr>
              <w:t>－</w:t>
            </w:r>
          </w:p>
        </w:tc>
        <w:tc>
          <w:tcPr>
            <w:tcW w:w="1111" w:type="dxa"/>
            <w:vAlign w:val="center"/>
          </w:tcPr>
          <w:p w14:paraId="403FA2CE">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w:t>
            </w:r>
          </w:p>
        </w:tc>
        <w:tc>
          <w:tcPr>
            <w:tcW w:w="2052" w:type="dxa"/>
            <w:vAlign w:val="center"/>
          </w:tcPr>
          <w:p w14:paraId="0BD61D26">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w:t>
            </w:r>
          </w:p>
        </w:tc>
        <w:tc>
          <w:tcPr>
            <w:tcW w:w="964" w:type="dxa"/>
            <w:vAlign w:val="center"/>
          </w:tcPr>
          <w:p w14:paraId="474DD49C">
            <w:pPr>
              <w:jc w:val="center"/>
              <w:rPr>
                <w:rFonts w:hint="default" w:ascii="Times New Roman" w:hAnsi="Times New Roman" w:eastAsia="宋体" w:cs="Times New Roman"/>
                <w:b/>
                <w:color w:val="FF0000"/>
                <w:sz w:val="15"/>
                <w:szCs w:val="15"/>
              </w:rPr>
            </w:pPr>
            <w:r>
              <w:rPr>
                <w:rFonts w:hint="default" w:ascii="Times New Roman" w:hAnsi="Times New Roman" w:eastAsia="宋体" w:cs="Times New Roman"/>
                <w:b/>
                <w:sz w:val="15"/>
                <w:szCs w:val="15"/>
              </w:rPr>
              <w:t>－</w:t>
            </w:r>
          </w:p>
        </w:tc>
        <w:tc>
          <w:tcPr>
            <w:tcW w:w="922" w:type="dxa"/>
            <w:gridSpan w:val="2"/>
            <w:vAlign w:val="center"/>
          </w:tcPr>
          <w:p w14:paraId="23255F8A">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w:t>
            </w:r>
          </w:p>
        </w:tc>
        <w:tc>
          <w:tcPr>
            <w:tcW w:w="931" w:type="dxa"/>
            <w:vAlign w:val="center"/>
          </w:tcPr>
          <w:p w14:paraId="3133AFF0">
            <w:pPr>
              <w:jc w:val="center"/>
              <w:rPr>
                <w:rFonts w:hint="default" w:ascii="Times New Roman" w:hAnsi="Times New Roman" w:eastAsia="宋体" w:cs="Times New Roman"/>
                <w:b/>
                <w:sz w:val="15"/>
                <w:szCs w:val="15"/>
              </w:rPr>
            </w:pPr>
            <w:r>
              <w:rPr>
                <w:rFonts w:hint="default" w:ascii="Times New Roman" w:hAnsi="Times New Roman" w:eastAsia="宋体" w:cs="Times New Roman"/>
                <w:b/>
                <w:sz w:val="15"/>
                <w:szCs w:val="15"/>
              </w:rPr>
              <w:t>－</w:t>
            </w:r>
          </w:p>
        </w:tc>
        <w:tc>
          <w:tcPr>
            <w:tcW w:w="910" w:type="dxa"/>
            <w:vAlign w:val="center"/>
          </w:tcPr>
          <w:p w14:paraId="646E5ADE">
            <w:pPr>
              <w:jc w:val="center"/>
              <w:rPr>
                <w:rFonts w:hint="default" w:ascii="Times New Roman" w:hAnsi="Times New Roman" w:eastAsia="宋体" w:cs="Times New Roman"/>
                <w:b w:val="0"/>
                <w:bCs/>
                <w:sz w:val="15"/>
                <w:szCs w:val="15"/>
              </w:rPr>
            </w:pPr>
            <w:r>
              <w:rPr>
                <w:rFonts w:hint="default" w:ascii="Times New Roman" w:hAnsi="Times New Roman" w:eastAsia="宋体" w:cs="Times New Roman"/>
                <w:b/>
                <w:sz w:val="15"/>
                <w:szCs w:val="15"/>
              </w:rPr>
              <w:t>－</w:t>
            </w:r>
          </w:p>
        </w:tc>
      </w:tr>
    </w:tbl>
    <w:p w14:paraId="1CC67EBA">
      <w:pPr>
        <w:pStyle w:val="42"/>
        <w:rPr>
          <w:rFonts w:hint="default"/>
        </w:rPr>
      </w:pPr>
    </w:p>
    <w:p w14:paraId="5EB1333B">
      <w:pPr>
        <w:pStyle w:val="42"/>
        <w:rPr>
          <w:rFonts w:hint="default" w:eastAsia="宋体"/>
          <w:lang w:val="en-US" w:eastAsia="zh-CN"/>
        </w:rPr>
      </w:pPr>
      <w:r>
        <w:rPr>
          <w:rFonts w:ascii="Times New Roman" w:hAnsi="Times New Roman" w:cs="Times New Roman"/>
          <w:b/>
          <w:sz w:val="15"/>
          <w:szCs w:val="15"/>
        </w:rPr>
        <w:t>注</w:t>
      </w:r>
      <w:r>
        <w:rPr>
          <w:rFonts w:ascii="Times New Roman" w:hAnsi="Times New Roman" w:cs="Times New Roman"/>
          <w:sz w:val="15"/>
          <w:szCs w:val="15"/>
        </w:rPr>
        <w:t>：1、</w:t>
      </w:r>
      <w:r>
        <w:rPr>
          <w:rFonts w:ascii="Times New Roman" w:hAnsi="Times New Roman" w:cs="Times New Roman"/>
          <w:spacing w:val="-4"/>
          <w:sz w:val="15"/>
          <w:szCs w:val="15"/>
        </w:rPr>
        <w:t>排放增减量：（+）表示增加，（-）表示减少。2、(12)=(6)-(8)-(11)，（9）= (4)-(5)-(8)- (11) +（1）。3、计量单位：废水排放量——万吨/年；废气排放量——万标立方米/年；工业固体废物排放</w:t>
      </w:r>
      <w:r>
        <w:rPr>
          <w:rFonts w:ascii="Times New Roman" w:hAnsi="Times New Roman" w:cs="Times New Roman"/>
          <w:sz w:val="15"/>
          <w:szCs w:val="15"/>
        </w:rPr>
        <w:t>量——万吨/年；水污染物排放浓度——毫克/</w:t>
      </w:r>
      <w:bookmarkEnd w:id="17"/>
      <w:r>
        <w:rPr>
          <w:rFonts w:hint="eastAsia" w:ascii="Times New Roman" w:hAnsi="Times New Roman" w:cs="Times New Roman"/>
          <w:sz w:val="15"/>
          <w:szCs w:val="15"/>
          <w:lang w:val="en-US" w:eastAsia="zh-CN"/>
        </w:rPr>
        <w:t>l。</w:t>
      </w:r>
    </w:p>
    <w:sectPr>
      <w:headerReference r:id="rId5" w:type="default"/>
      <w:footerReference r:id="rId6" w:type="default"/>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Calibri Light">
    <w:panose1 w:val="020F03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TimesNewRomanPSMT">
    <w:altName w:val="Times New Roman"/>
    <w:panose1 w:val="00000000000000000000"/>
    <w:charset w:val="00"/>
    <w:family w:val="roman"/>
    <w:pitch w:val="default"/>
    <w:sig w:usb0="00000000" w:usb1="00000000" w:usb2="00000000" w:usb3="00000000" w:csb0="00000000" w:csb1="00000000"/>
  </w:font>
  <w:font w:name="Brush Script MT">
    <w:panose1 w:val="03060802040406070304"/>
    <w:charset w:val="00"/>
    <w:family w:val="script"/>
    <w:pitch w:val="default"/>
    <w:sig w:usb0="00000003" w:usb1="00000000" w:usb2="00000000" w:usb3="00000000" w:csb0="20000001" w:csb1="00000000"/>
  </w:font>
  <w:font w:name="微软雅黑">
    <w:panose1 w:val="020B0503020204020204"/>
    <w:charset w:val="86"/>
    <w:family w:val="auto"/>
    <w:pitch w:val="default"/>
    <w:sig w:usb0="80000287" w:usb1="2ACF3C50" w:usb2="00000016" w:usb3="00000000" w:csb0="0004001F" w:csb1="00000000"/>
  </w:font>
  <w:font w:name="Wingdings 2">
    <w:panose1 w:val="05020102010507070707"/>
    <w:charset w:val="02"/>
    <w:family w:val="decorative"/>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B2899A">
    <w:pPr>
      <w:pStyle w:val="19"/>
      <w:framePr w:wrap="around" w:vAnchor="text" w:hAnchor="margin" w:xAlign="outside" w:y="1"/>
      <w:rPr>
        <w:rFonts w:hint="eastAsia" w:eastAsiaTheme="minorEastAsia"/>
        <w:lang w:eastAsia="zh-CN"/>
      </w:rPr>
    </w:pPr>
    <w:r>
      <w:fldChar w:fldCharType="begin"/>
    </w:r>
    <w:r>
      <w:rPr>
        <w:rStyle w:val="57"/>
      </w:rPr>
      <w:instrText xml:space="preserve">PAGE  </w:instrText>
    </w:r>
    <w:r>
      <w:fldChar w:fldCharType="end"/>
    </w:r>
  </w:p>
  <w:p w14:paraId="37A532B5">
    <w:pPr>
      <w:pStyle w:val="19"/>
      <w:framePr w:wrap="around" w:vAnchor="text" w:hAnchor="margin" w:xAlign="outside" w:y="1"/>
      <w:rPr>
        <w:rFonts w:hint="eastAsia" w:eastAsiaTheme="minorEastAsia"/>
        <w:lang w:eastAsia="zh-C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8E816D">
    <w:pPr>
      <w:pStyle w:val="19"/>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1BACB51">
                          <w:pPr>
                            <w:pStyle w:val="19"/>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14:paraId="71BACB51">
                    <w:pPr>
                      <w:pStyle w:val="19"/>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527B14">
    <w:pPr>
      <w:pStyle w:val="19"/>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226695" cy="139700"/>
              <wp:effectExtent l="0" t="0" r="1905" b="1905"/>
              <wp:wrapNone/>
              <wp:docPr id="4" name="Text Box 7"/>
              <wp:cNvGraphicFramePr/>
              <a:graphic xmlns:a="http://schemas.openxmlformats.org/drawingml/2006/main">
                <a:graphicData uri="http://schemas.microsoft.com/office/word/2010/wordprocessingShape">
                  <wps:wsp>
                    <wps:cNvSpPr txBox="1">
                      <a:spLocks noChangeArrowheads="1"/>
                    </wps:cNvSpPr>
                    <wps:spPr bwMode="auto">
                      <a:xfrm>
                        <a:off x="0" y="0"/>
                        <a:ext cx="226695" cy="139700"/>
                      </a:xfrm>
                      <a:prstGeom prst="rect">
                        <a:avLst/>
                      </a:prstGeom>
                      <a:noFill/>
                      <a:ln>
                        <a:noFill/>
                      </a:ln>
                    </wps:spPr>
                    <wps:txbx>
                      <w:txbxContent>
                        <w:p w14:paraId="6AAA51FC">
                          <w:pPr>
                            <w:pStyle w:val="19"/>
                            <w:rPr>
                              <w:rFonts w:ascii="Times New Roman" w:hAnsi="Times New Roman" w:cs="Times New Roman"/>
                              <w:sz w:val="21"/>
                              <w:szCs w:val="21"/>
                            </w:rPr>
                          </w:pPr>
                          <w:r>
                            <w:rPr>
                              <w:rFonts w:ascii="Times New Roman" w:hAnsi="Times New Roman" w:cs="Times New Roman"/>
                              <w:sz w:val="21"/>
                              <w:szCs w:val="21"/>
                            </w:rPr>
                            <w:fldChar w:fldCharType="begin"/>
                          </w:r>
                          <w:r>
                            <w:rPr>
                              <w:rFonts w:ascii="Times New Roman" w:hAnsi="Times New Roman" w:cs="Times New Roman"/>
                              <w:sz w:val="21"/>
                              <w:szCs w:val="21"/>
                            </w:rPr>
                            <w:instrText xml:space="preserve"> PAGE  \* MERGEFORMAT </w:instrText>
                          </w:r>
                          <w:r>
                            <w:rPr>
                              <w:rFonts w:ascii="Times New Roman" w:hAnsi="Times New Roman" w:cs="Times New Roman"/>
                              <w:sz w:val="21"/>
                              <w:szCs w:val="21"/>
                            </w:rPr>
                            <w:fldChar w:fldCharType="separate"/>
                          </w:r>
                          <w:r>
                            <w:rPr>
                              <w:rFonts w:ascii="Times New Roman" w:hAnsi="Times New Roman" w:cs="Times New Roman"/>
                              <w:sz w:val="21"/>
                              <w:szCs w:val="21"/>
                            </w:rPr>
                            <w:t>108</w:t>
                          </w:r>
                          <w:r>
                            <w:rPr>
                              <w:rFonts w:ascii="Times New Roman" w:hAnsi="Times New Roman" w:cs="Times New Roman"/>
                              <w:sz w:val="21"/>
                              <w:szCs w:val="21"/>
                            </w:rPr>
                            <w:fldChar w:fldCharType="end"/>
                          </w:r>
                        </w:p>
                      </w:txbxContent>
                    </wps:txbx>
                    <wps:bodyPr rot="0" vert="horz" wrap="square" lIns="0" tIns="0" rIns="0" bIns="0" anchor="t" anchorCtr="0" upright="1">
                      <a:spAutoFit/>
                    </wps:bodyPr>
                  </wps:wsp>
                </a:graphicData>
              </a:graphic>
            </wp:anchor>
          </w:drawing>
        </mc:Choice>
        <mc:Fallback>
          <w:pict>
            <v:shape id="Text Box 7" o:spid="_x0000_s1026" o:spt="202" type="#_x0000_t202" style="position:absolute;left:0pt;margin-top:0pt;height:11pt;width:17.85pt;mso-position-horizontal:center;mso-position-horizontal-relative:margin;z-index:251660288;mso-width-relative:page;mso-height-relative:page;" filled="f" stroked="f" coordsize="21600,21600" o:gfxdata="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h0WP10gAAAAMBAAAPAAAAAAAAAAEAIAAAACIAAABkcnMvZG93bnJldi54bWxQ&#10;SwECFAAUAAAACACHTuJAwFr6XP0BAAADBAAADgAAAAAAAAABACAAAAAhAQAAZHJzL2Uyb0RvYy54&#10;bWxQSwUGAAAAAAYABgBZAQAAkAUAAAAA&#10;">
              <v:fill on="f" focussize="0,0"/>
              <v:stroke on="f"/>
              <v:imagedata o:title=""/>
              <o:lock v:ext="edit" aspectratio="f"/>
              <v:textbox inset="0mm,0mm,0mm,0mm" style="mso-fit-shape-to-text:t;">
                <w:txbxContent>
                  <w:p w14:paraId="6AAA51FC">
                    <w:pPr>
                      <w:pStyle w:val="19"/>
                      <w:rPr>
                        <w:rFonts w:ascii="Times New Roman" w:hAnsi="Times New Roman" w:cs="Times New Roman"/>
                        <w:sz w:val="21"/>
                        <w:szCs w:val="21"/>
                      </w:rPr>
                    </w:pPr>
                    <w:r>
                      <w:rPr>
                        <w:rFonts w:ascii="Times New Roman" w:hAnsi="Times New Roman" w:cs="Times New Roman"/>
                        <w:sz w:val="21"/>
                        <w:szCs w:val="21"/>
                      </w:rPr>
                      <w:fldChar w:fldCharType="begin"/>
                    </w:r>
                    <w:r>
                      <w:rPr>
                        <w:rFonts w:ascii="Times New Roman" w:hAnsi="Times New Roman" w:cs="Times New Roman"/>
                        <w:sz w:val="21"/>
                        <w:szCs w:val="21"/>
                      </w:rPr>
                      <w:instrText xml:space="preserve"> PAGE  \* MERGEFORMAT </w:instrText>
                    </w:r>
                    <w:r>
                      <w:rPr>
                        <w:rFonts w:ascii="Times New Roman" w:hAnsi="Times New Roman" w:cs="Times New Roman"/>
                        <w:sz w:val="21"/>
                        <w:szCs w:val="21"/>
                      </w:rPr>
                      <w:fldChar w:fldCharType="separate"/>
                    </w:r>
                    <w:r>
                      <w:rPr>
                        <w:rFonts w:ascii="Times New Roman" w:hAnsi="Times New Roman" w:cs="Times New Roman"/>
                        <w:sz w:val="21"/>
                        <w:szCs w:val="21"/>
                      </w:rPr>
                      <w:t>108</w:t>
                    </w:r>
                    <w:r>
                      <w:rPr>
                        <w:rFonts w:ascii="Times New Roman" w:hAnsi="Times New Roman" w:cs="Times New Roman"/>
                        <w:sz w:val="21"/>
                        <w:szCs w:val="21"/>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B7D885">
    <w:pPr>
      <w:pStyle w:val="20"/>
      <w:pBdr>
        <w:bottom w:val="none" w:color="auto" w:sz="0" w:space="1"/>
      </w:pBdr>
      <w:rPr>
        <w:rFonts w:hint="eastAsia"/>
        <w:lang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9146A4A"/>
    <w:multiLevelType w:val="singleLevel"/>
    <w:tmpl w:val="B9146A4A"/>
    <w:lvl w:ilvl="0" w:tentative="0">
      <w:start w:val="1"/>
      <w:numFmt w:val="bullet"/>
      <w:pStyle w:val="16"/>
      <w:lvlText w:val=""/>
      <w:lvlJc w:val="left"/>
      <w:pPr>
        <w:tabs>
          <w:tab w:val="left" w:pos="2040"/>
        </w:tabs>
        <w:ind w:left="2040" w:hanging="360"/>
      </w:pPr>
      <w:rPr>
        <w:rFonts w:hint="default" w:ascii="Wingdings" w:hAnsi="Wingdings"/>
      </w:rPr>
    </w:lvl>
  </w:abstractNum>
  <w:abstractNum w:abstractNumId="1">
    <w:nsid w:val="F217B671"/>
    <w:multiLevelType w:val="singleLevel"/>
    <w:tmpl w:val="F217B671"/>
    <w:lvl w:ilvl="0" w:tentative="0">
      <w:start w:val="2"/>
      <w:numFmt w:val="chineseCounting"/>
      <w:suff w:val="nothing"/>
      <w:lvlText w:val="%1、"/>
      <w:lvlJc w:val="left"/>
      <w:rPr>
        <w:rFonts w:hint="eastAsia"/>
      </w:rPr>
    </w:lvl>
  </w:abstractNum>
  <w:abstractNum w:abstractNumId="2">
    <w:nsid w:val="79A1BE96"/>
    <w:multiLevelType w:val="singleLevel"/>
    <w:tmpl w:val="79A1BE96"/>
    <w:lvl w:ilvl="0" w:tentative="0">
      <w:start w:val="1"/>
      <w:numFmt w:val="decimal"/>
      <w:suff w:val="nothing"/>
      <w:lvlText w:val="%1、"/>
      <w:lvlJc w:val="left"/>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isplayBackgroundShape w:val="1"/>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TQ1MWRkMmZiM2EzMTljNzY1NjU3MmZlNWRkNmQ5NDEifQ=="/>
  </w:docVars>
  <w:rsids>
    <w:rsidRoot w:val="008C0FD6"/>
    <w:rsid w:val="000002E4"/>
    <w:rsid w:val="000002FB"/>
    <w:rsid w:val="000004CD"/>
    <w:rsid w:val="000004FB"/>
    <w:rsid w:val="000006DD"/>
    <w:rsid w:val="000006EF"/>
    <w:rsid w:val="000007B0"/>
    <w:rsid w:val="00000948"/>
    <w:rsid w:val="00000BEC"/>
    <w:rsid w:val="00000C60"/>
    <w:rsid w:val="00000EA8"/>
    <w:rsid w:val="000010A5"/>
    <w:rsid w:val="0000155A"/>
    <w:rsid w:val="00001643"/>
    <w:rsid w:val="00001A87"/>
    <w:rsid w:val="00001DE0"/>
    <w:rsid w:val="00002016"/>
    <w:rsid w:val="00002196"/>
    <w:rsid w:val="000021AD"/>
    <w:rsid w:val="00002429"/>
    <w:rsid w:val="0000242F"/>
    <w:rsid w:val="00002476"/>
    <w:rsid w:val="000024D6"/>
    <w:rsid w:val="00002629"/>
    <w:rsid w:val="00002BBE"/>
    <w:rsid w:val="00002CDE"/>
    <w:rsid w:val="000031D9"/>
    <w:rsid w:val="00003351"/>
    <w:rsid w:val="000033F8"/>
    <w:rsid w:val="00003569"/>
    <w:rsid w:val="00003659"/>
    <w:rsid w:val="0000373F"/>
    <w:rsid w:val="00003AC0"/>
    <w:rsid w:val="00003DF6"/>
    <w:rsid w:val="0000417B"/>
    <w:rsid w:val="0000417E"/>
    <w:rsid w:val="000041B3"/>
    <w:rsid w:val="00004257"/>
    <w:rsid w:val="000042B1"/>
    <w:rsid w:val="000042DC"/>
    <w:rsid w:val="00004544"/>
    <w:rsid w:val="0000459A"/>
    <w:rsid w:val="000049FB"/>
    <w:rsid w:val="00004A52"/>
    <w:rsid w:val="00004B1E"/>
    <w:rsid w:val="00004BC5"/>
    <w:rsid w:val="00004DB1"/>
    <w:rsid w:val="0000518A"/>
    <w:rsid w:val="0000519A"/>
    <w:rsid w:val="00005CCA"/>
    <w:rsid w:val="00005DDD"/>
    <w:rsid w:val="00006215"/>
    <w:rsid w:val="0000635B"/>
    <w:rsid w:val="00006534"/>
    <w:rsid w:val="00006625"/>
    <w:rsid w:val="000067B9"/>
    <w:rsid w:val="000067EB"/>
    <w:rsid w:val="00006BFD"/>
    <w:rsid w:val="00006D84"/>
    <w:rsid w:val="00006DF3"/>
    <w:rsid w:val="000071AC"/>
    <w:rsid w:val="00007280"/>
    <w:rsid w:val="000073D1"/>
    <w:rsid w:val="00007874"/>
    <w:rsid w:val="00007AD4"/>
    <w:rsid w:val="00007B73"/>
    <w:rsid w:val="000101DB"/>
    <w:rsid w:val="000104E8"/>
    <w:rsid w:val="00010902"/>
    <w:rsid w:val="00010956"/>
    <w:rsid w:val="0001095D"/>
    <w:rsid w:val="00010988"/>
    <w:rsid w:val="00010C29"/>
    <w:rsid w:val="00010D07"/>
    <w:rsid w:val="00011340"/>
    <w:rsid w:val="0001138D"/>
    <w:rsid w:val="0001145F"/>
    <w:rsid w:val="000118A6"/>
    <w:rsid w:val="00011C2D"/>
    <w:rsid w:val="00011D72"/>
    <w:rsid w:val="00011E71"/>
    <w:rsid w:val="00012034"/>
    <w:rsid w:val="00012178"/>
    <w:rsid w:val="00012705"/>
    <w:rsid w:val="00012AF9"/>
    <w:rsid w:val="00012EFC"/>
    <w:rsid w:val="00012F1F"/>
    <w:rsid w:val="00013006"/>
    <w:rsid w:val="00013047"/>
    <w:rsid w:val="0001309E"/>
    <w:rsid w:val="00013299"/>
    <w:rsid w:val="00013335"/>
    <w:rsid w:val="000135D8"/>
    <w:rsid w:val="0001377C"/>
    <w:rsid w:val="000137BE"/>
    <w:rsid w:val="000137C4"/>
    <w:rsid w:val="0001384B"/>
    <w:rsid w:val="00013B29"/>
    <w:rsid w:val="00013C02"/>
    <w:rsid w:val="00013E72"/>
    <w:rsid w:val="00013FB7"/>
    <w:rsid w:val="00014090"/>
    <w:rsid w:val="00014158"/>
    <w:rsid w:val="000141FE"/>
    <w:rsid w:val="000141FF"/>
    <w:rsid w:val="0001464F"/>
    <w:rsid w:val="0001475E"/>
    <w:rsid w:val="00014A43"/>
    <w:rsid w:val="00014F7D"/>
    <w:rsid w:val="00015020"/>
    <w:rsid w:val="0001504B"/>
    <w:rsid w:val="00015473"/>
    <w:rsid w:val="000157DA"/>
    <w:rsid w:val="00015EEC"/>
    <w:rsid w:val="00015F00"/>
    <w:rsid w:val="00016877"/>
    <w:rsid w:val="0001688F"/>
    <w:rsid w:val="00016927"/>
    <w:rsid w:val="000169DD"/>
    <w:rsid w:val="00016F70"/>
    <w:rsid w:val="000179B8"/>
    <w:rsid w:val="00017CE2"/>
    <w:rsid w:val="00020371"/>
    <w:rsid w:val="0002061A"/>
    <w:rsid w:val="0002083F"/>
    <w:rsid w:val="000209DC"/>
    <w:rsid w:val="00020D28"/>
    <w:rsid w:val="00020DCF"/>
    <w:rsid w:val="00020DFC"/>
    <w:rsid w:val="00020E93"/>
    <w:rsid w:val="00020F28"/>
    <w:rsid w:val="00021320"/>
    <w:rsid w:val="0002138C"/>
    <w:rsid w:val="0002147A"/>
    <w:rsid w:val="000215AE"/>
    <w:rsid w:val="00021770"/>
    <w:rsid w:val="0002187F"/>
    <w:rsid w:val="00021A14"/>
    <w:rsid w:val="00021DD4"/>
    <w:rsid w:val="00021F87"/>
    <w:rsid w:val="00022130"/>
    <w:rsid w:val="00022350"/>
    <w:rsid w:val="00022489"/>
    <w:rsid w:val="00022992"/>
    <w:rsid w:val="00022F65"/>
    <w:rsid w:val="0002323F"/>
    <w:rsid w:val="00023476"/>
    <w:rsid w:val="0002350C"/>
    <w:rsid w:val="00023715"/>
    <w:rsid w:val="000237D0"/>
    <w:rsid w:val="00023B5A"/>
    <w:rsid w:val="00023C1A"/>
    <w:rsid w:val="00023D4D"/>
    <w:rsid w:val="00024384"/>
    <w:rsid w:val="00024425"/>
    <w:rsid w:val="00024756"/>
    <w:rsid w:val="0002492B"/>
    <w:rsid w:val="00024B04"/>
    <w:rsid w:val="00024FA5"/>
    <w:rsid w:val="00025087"/>
    <w:rsid w:val="000250EF"/>
    <w:rsid w:val="00025365"/>
    <w:rsid w:val="0002567C"/>
    <w:rsid w:val="00025825"/>
    <w:rsid w:val="00025A68"/>
    <w:rsid w:val="00025EF1"/>
    <w:rsid w:val="0002612F"/>
    <w:rsid w:val="0002679B"/>
    <w:rsid w:val="00026AFC"/>
    <w:rsid w:val="00026B17"/>
    <w:rsid w:val="00026B5F"/>
    <w:rsid w:val="00026D07"/>
    <w:rsid w:val="00026D3D"/>
    <w:rsid w:val="00026DA2"/>
    <w:rsid w:val="00027234"/>
    <w:rsid w:val="00027244"/>
    <w:rsid w:val="000273D2"/>
    <w:rsid w:val="000273EF"/>
    <w:rsid w:val="00027A81"/>
    <w:rsid w:val="00027AD6"/>
    <w:rsid w:val="00027F3F"/>
    <w:rsid w:val="00027F8A"/>
    <w:rsid w:val="00030180"/>
    <w:rsid w:val="0003019A"/>
    <w:rsid w:val="000304F8"/>
    <w:rsid w:val="000306EE"/>
    <w:rsid w:val="000308E4"/>
    <w:rsid w:val="00030F6A"/>
    <w:rsid w:val="00031063"/>
    <w:rsid w:val="000310E4"/>
    <w:rsid w:val="0003160D"/>
    <w:rsid w:val="00031925"/>
    <w:rsid w:val="00031A22"/>
    <w:rsid w:val="00031ABC"/>
    <w:rsid w:val="00031AC1"/>
    <w:rsid w:val="00031F89"/>
    <w:rsid w:val="000320EB"/>
    <w:rsid w:val="000322F9"/>
    <w:rsid w:val="00032F1E"/>
    <w:rsid w:val="00033204"/>
    <w:rsid w:val="0003337C"/>
    <w:rsid w:val="00033484"/>
    <w:rsid w:val="000334B3"/>
    <w:rsid w:val="000337FA"/>
    <w:rsid w:val="00034006"/>
    <w:rsid w:val="00034594"/>
    <w:rsid w:val="00034874"/>
    <w:rsid w:val="000349F2"/>
    <w:rsid w:val="0003539C"/>
    <w:rsid w:val="0003577F"/>
    <w:rsid w:val="000358E4"/>
    <w:rsid w:val="00035A72"/>
    <w:rsid w:val="00036354"/>
    <w:rsid w:val="000366FD"/>
    <w:rsid w:val="000368A2"/>
    <w:rsid w:val="0003693E"/>
    <w:rsid w:val="00036A06"/>
    <w:rsid w:val="00036A1B"/>
    <w:rsid w:val="00036BE9"/>
    <w:rsid w:val="00036CBC"/>
    <w:rsid w:val="00036DC2"/>
    <w:rsid w:val="00036DF3"/>
    <w:rsid w:val="00036DFD"/>
    <w:rsid w:val="00036E7D"/>
    <w:rsid w:val="000372E3"/>
    <w:rsid w:val="000376A6"/>
    <w:rsid w:val="000376AA"/>
    <w:rsid w:val="000376CC"/>
    <w:rsid w:val="00037A78"/>
    <w:rsid w:val="00037F23"/>
    <w:rsid w:val="00040854"/>
    <w:rsid w:val="00040B89"/>
    <w:rsid w:val="00040D30"/>
    <w:rsid w:val="0004166B"/>
    <w:rsid w:val="0004175E"/>
    <w:rsid w:val="00041B88"/>
    <w:rsid w:val="00041BE4"/>
    <w:rsid w:val="00041DA9"/>
    <w:rsid w:val="00041DD9"/>
    <w:rsid w:val="00042447"/>
    <w:rsid w:val="000429B1"/>
    <w:rsid w:val="000429BD"/>
    <w:rsid w:val="00042B35"/>
    <w:rsid w:val="00042CA2"/>
    <w:rsid w:val="000430BA"/>
    <w:rsid w:val="000430BD"/>
    <w:rsid w:val="0004378C"/>
    <w:rsid w:val="0004381B"/>
    <w:rsid w:val="00043864"/>
    <w:rsid w:val="00043A6B"/>
    <w:rsid w:val="00043AB4"/>
    <w:rsid w:val="00043B32"/>
    <w:rsid w:val="00043B98"/>
    <w:rsid w:val="00043DB2"/>
    <w:rsid w:val="00043E67"/>
    <w:rsid w:val="00043E8E"/>
    <w:rsid w:val="00043FBB"/>
    <w:rsid w:val="000440B4"/>
    <w:rsid w:val="00044366"/>
    <w:rsid w:val="000443E5"/>
    <w:rsid w:val="0004451E"/>
    <w:rsid w:val="0004457D"/>
    <w:rsid w:val="000449B8"/>
    <w:rsid w:val="00044CE2"/>
    <w:rsid w:val="00044DE1"/>
    <w:rsid w:val="00044FEB"/>
    <w:rsid w:val="000450D5"/>
    <w:rsid w:val="0004521F"/>
    <w:rsid w:val="00045627"/>
    <w:rsid w:val="0004589D"/>
    <w:rsid w:val="000458A7"/>
    <w:rsid w:val="00045A0C"/>
    <w:rsid w:val="00045C6B"/>
    <w:rsid w:val="00046167"/>
    <w:rsid w:val="0004628F"/>
    <w:rsid w:val="000462BC"/>
    <w:rsid w:val="0004655D"/>
    <w:rsid w:val="000467DF"/>
    <w:rsid w:val="00046935"/>
    <w:rsid w:val="000469F2"/>
    <w:rsid w:val="00046BCB"/>
    <w:rsid w:val="000471B2"/>
    <w:rsid w:val="0004782C"/>
    <w:rsid w:val="00047A9B"/>
    <w:rsid w:val="00047BF7"/>
    <w:rsid w:val="00047C47"/>
    <w:rsid w:val="00047DDE"/>
    <w:rsid w:val="0005006C"/>
    <w:rsid w:val="00050083"/>
    <w:rsid w:val="000500AD"/>
    <w:rsid w:val="00050215"/>
    <w:rsid w:val="000502DF"/>
    <w:rsid w:val="00050371"/>
    <w:rsid w:val="00050376"/>
    <w:rsid w:val="000505BA"/>
    <w:rsid w:val="0005078E"/>
    <w:rsid w:val="000507FD"/>
    <w:rsid w:val="00050BDE"/>
    <w:rsid w:val="00051168"/>
    <w:rsid w:val="000511E6"/>
    <w:rsid w:val="00051805"/>
    <w:rsid w:val="00051912"/>
    <w:rsid w:val="000519A8"/>
    <w:rsid w:val="00051BDC"/>
    <w:rsid w:val="00052066"/>
    <w:rsid w:val="0005210A"/>
    <w:rsid w:val="000526EF"/>
    <w:rsid w:val="000527F7"/>
    <w:rsid w:val="00052CA7"/>
    <w:rsid w:val="00052D5E"/>
    <w:rsid w:val="0005322C"/>
    <w:rsid w:val="00053366"/>
    <w:rsid w:val="0005359F"/>
    <w:rsid w:val="000535FA"/>
    <w:rsid w:val="0005373C"/>
    <w:rsid w:val="000538CA"/>
    <w:rsid w:val="00053DAD"/>
    <w:rsid w:val="0005446E"/>
    <w:rsid w:val="0005454A"/>
    <w:rsid w:val="000545EC"/>
    <w:rsid w:val="00054A25"/>
    <w:rsid w:val="00055294"/>
    <w:rsid w:val="000554C1"/>
    <w:rsid w:val="000555A5"/>
    <w:rsid w:val="00055790"/>
    <w:rsid w:val="00055797"/>
    <w:rsid w:val="0005618E"/>
    <w:rsid w:val="00056260"/>
    <w:rsid w:val="0005628E"/>
    <w:rsid w:val="00056698"/>
    <w:rsid w:val="00056A40"/>
    <w:rsid w:val="00056C99"/>
    <w:rsid w:val="00056CCE"/>
    <w:rsid w:val="00056E9F"/>
    <w:rsid w:val="00057188"/>
    <w:rsid w:val="00057290"/>
    <w:rsid w:val="000573A7"/>
    <w:rsid w:val="0005749D"/>
    <w:rsid w:val="000574B4"/>
    <w:rsid w:val="0005753D"/>
    <w:rsid w:val="00057B1E"/>
    <w:rsid w:val="00057B3B"/>
    <w:rsid w:val="00057BD0"/>
    <w:rsid w:val="00057BD8"/>
    <w:rsid w:val="00057C24"/>
    <w:rsid w:val="000604AC"/>
    <w:rsid w:val="00060675"/>
    <w:rsid w:val="000609DB"/>
    <w:rsid w:val="00060D84"/>
    <w:rsid w:val="00060E41"/>
    <w:rsid w:val="00060E56"/>
    <w:rsid w:val="000611E8"/>
    <w:rsid w:val="0006127D"/>
    <w:rsid w:val="0006193F"/>
    <w:rsid w:val="00061C91"/>
    <w:rsid w:val="00061DAD"/>
    <w:rsid w:val="00061F83"/>
    <w:rsid w:val="0006240E"/>
    <w:rsid w:val="0006293B"/>
    <w:rsid w:val="00062A88"/>
    <w:rsid w:val="00062E78"/>
    <w:rsid w:val="00062F5A"/>
    <w:rsid w:val="0006303E"/>
    <w:rsid w:val="00063151"/>
    <w:rsid w:val="000633F4"/>
    <w:rsid w:val="0006359B"/>
    <w:rsid w:val="0006388E"/>
    <w:rsid w:val="00063BAE"/>
    <w:rsid w:val="00063CAA"/>
    <w:rsid w:val="00063D9B"/>
    <w:rsid w:val="0006407E"/>
    <w:rsid w:val="00064242"/>
    <w:rsid w:val="00064639"/>
    <w:rsid w:val="00064B08"/>
    <w:rsid w:val="00064BBA"/>
    <w:rsid w:val="00064D8F"/>
    <w:rsid w:val="00065495"/>
    <w:rsid w:val="00065574"/>
    <w:rsid w:val="00065697"/>
    <w:rsid w:val="00065886"/>
    <w:rsid w:val="00066080"/>
    <w:rsid w:val="0006639C"/>
    <w:rsid w:val="00066723"/>
    <w:rsid w:val="00066D71"/>
    <w:rsid w:val="00066EE4"/>
    <w:rsid w:val="000672E1"/>
    <w:rsid w:val="00067390"/>
    <w:rsid w:val="00067846"/>
    <w:rsid w:val="00067B40"/>
    <w:rsid w:val="00067BFC"/>
    <w:rsid w:val="00067C6D"/>
    <w:rsid w:val="00067E82"/>
    <w:rsid w:val="00067F30"/>
    <w:rsid w:val="00067F6F"/>
    <w:rsid w:val="000705E6"/>
    <w:rsid w:val="000706A9"/>
    <w:rsid w:val="00070B6F"/>
    <w:rsid w:val="00070CA5"/>
    <w:rsid w:val="00070CEF"/>
    <w:rsid w:val="00070E0C"/>
    <w:rsid w:val="00070EE1"/>
    <w:rsid w:val="00071240"/>
    <w:rsid w:val="00071281"/>
    <w:rsid w:val="0007144A"/>
    <w:rsid w:val="00071674"/>
    <w:rsid w:val="000717F9"/>
    <w:rsid w:val="000720EC"/>
    <w:rsid w:val="000726C4"/>
    <w:rsid w:val="00072815"/>
    <w:rsid w:val="00072B78"/>
    <w:rsid w:val="00072D75"/>
    <w:rsid w:val="00073153"/>
    <w:rsid w:val="00073835"/>
    <w:rsid w:val="000738C3"/>
    <w:rsid w:val="00073C0F"/>
    <w:rsid w:val="00073C90"/>
    <w:rsid w:val="00073D83"/>
    <w:rsid w:val="00074144"/>
    <w:rsid w:val="0007415D"/>
    <w:rsid w:val="00074230"/>
    <w:rsid w:val="0007450B"/>
    <w:rsid w:val="0007465A"/>
    <w:rsid w:val="000746EB"/>
    <w:rsid w:val="000747EE"/>
    <w:rsid w:val="00074808"/>
    <w:rsid w:val="000748F5"/>
    <w:rsid w:val="00074B7F"/>
    <w:rsid w:val="00074BEE"/>
    <w:rsid w:val="0007503A"/>
    <w:rsid w:val="000750B2"/>
    <w:rsid w:val="000750F8"/>
    <w:rsid w:val="000751B8"/>
    <w:rsid w:val="00075233"/>
    <w:rsid w:val="00075340"/>
    <w:rsid w:val="00075A0E"/>
    <w:rsid w:val="00075C81"/>
    <w:rsid w:val="00075DA1"/>
    <w:rsid w:val="00075FDD"/>
    <w:rsid w:val="000762E9"/>
    <w:rsid w:val="0007643C"/>
    <w:rsid w:val="00076AAF"/>
    <w:rsid w:val="000775B9"/>
    <w:rsid w:val="000777DB"/>
    <w:rsid w:val="00077A84"/>
    <w:rsid w:val="00077D3E"/>
    <w:rsid w:val="00077D5F"/>
    <w:rsid w:val="0008023E"/>
    <w:rsid w:val="00080842"/>
    <w:rsid w:val="00080F06"/>
    <w:rsid w:val="00080F86"/>
    <w:rsid w:val="000810EF"/>
    <w:rsid w:val="000811B4"/>
    <w:rsid w:val="000811E3"/>
    <w:rsid w:val="00081429"/>
    <w:rsid w:val="00081934"/>
    <w:rsid w:val="0008194D"/>
    <w:rsid w:val="000819D1"/>
    <w:rsid w:val="00081AED"/>
    <w:rsid w:val="00081E4C"/>
    <w:rsid w:val="00082169"/>
    <w:rsid w:val="000821D8"/>
    <w:rsid w:val="00082200"/>
    <w:rsid w:val="000822EB"/>
    <w:rsid w:val="000824B8"/>
    <w:rsid w:val="000827EA"/>
    <w:rsid w:val="00082950"/>
    <w:rsid w:val="00082C5D"/>
    <w:rsid w:val="00082D24"/>
    <w:rsid w:val="00082E03"/>
    <w:rsid w:val="00082FF4"/>
    <w:rsid w:val="00083044"/>
    <w:rsid w:val="000833D1"/>
    <w:rsid w:val="000834B5"/>
    <w:rsid w:val="00083854"/>
    <w:rsid w:val="00083901"/>
    <w:rsid w:val="00083C81"/>
    <w:rsid w:val="00083DF4"/>
    <w:rsid w:val="000842D9"/>
    <w:rsid w:val="000842DF"/>
    <w:rsid w:val="00084393"/>
    <w:rsid w:val="000844F5"/>
    <w:rsid w:val="0008457B"/>
    <w:rsid w:val="00084857"/>
    <w:rsid w:val="000848C5"/>
    <w:rsid w:val="00085000"/>
    <w:rsid w:val="00085144"/>
    <w:rsid w:val="00085229"/>
    <w:rsid w:val="00085541"/>
    <w:rsid w:val="0008557C"/>
    <w:rsid w:val="00085B78"/>
    <w:rsid w:val="00085BCD"/>
    <w:rsid w:val="00085BE3"/>
    <w:rsid w:val="00085CBF"/>
    <w:rsid w:val="00085FA9"/>
    <w:rsid w:val="00086AAA"/>
    <w:rsid w:val="00086D1E"/>
    <w:rsid w:val="00086EB3"/>
    <w:rsid w:val="0008715E"/>
    <w:rsid w:val="00087462"/>
    <w:rsid w:val="000876F8"/>
    <w:rsid w:val="000877E5"/>
    <w:rsid w:val="00087CBB"/>
    <w:rsid w:val="00087E56"/>
    <w:rsid w:val="000900BE"/>
    <w:rsid w:val="00090924"/>
    <w:rsid w:val="00090B4D"/>
    <w:rsid w:val="00090DE0"/>
    <w:rsid w:val="00090E2E"/>
    <w:rsid w:val="00090E6C"/>
    <w:rsid w:val="00091158"/>
    <w:rsid w:val="0009125D"/>
    <w:rsid w:val="00091C04"/>
    <w:rsid w:val="00091CED"/>
    <w:rsid w:val="00091DA5"/>
    <w:rsid w:val="0009208D"/>
    <w:rsid w:val="00092319"/>
    <w:rsid w:val="00092509"/>
    <w:rsid w:val="000929E6"/>
    <w:rsid w:val="000929EB"/>
    <w:rsid w:val="00092B44"/>
    <w:rsid w:val="00092D6E"/>
    <w:rsid w:val="0009350C"/>
    <w:rsid w:val="0009392A"/>
    <w:rsid w:val="00093F97"/>
    <w:rsid w:val="0009463D"/>
    <w:rsid w:val="000947F1"/>
    <w:rsid w:val="000949E6"/>
    <w:rsid w:val="00094CCD"/>
    <w:rsid w:val="00094DAA"/>
    <w:rsid w:val="000950B6"/>
    <w:rsid w:val="000957C0"/>
    <w:rsid w:val="000957F0"/>
    <w:rsid w:val="00095907"/>
    <w:rsid w:val="00095C98"/>
    <w:rsid w:val="00095CDE"/>
    <w:rsid w:val="00095D9C"/>
    <w:rsid w:val="000960E2"/>
    <w:rsid w:val="000964B3"/>
    <w:rsid w:val="0009651B"/>
    <w:rsid w:val="00096581"/>
    <w:rsid w:val="0009660D"/>
    <w:rsid w:val="0009686B"/>
    <w:rsid w:val="000969DA"/>
    <w:rsid w:val="00096CA6"/>
    <w:rsid w:val="00096CB5"/>
    <w:rsid w:val="00096FDC"/>
    <w:rsid w:val="00097253"/>
    <w:rsid w:val="0009740E"/>
    <w:rsid w:val="000977D4"/>
    <w:rsid w:val="0009785D"/>
    <w:rsid w:val="0009789C"/>
    <w:rsid w:val="00097B63"/>
    <w:rsid w:val="00097C92"/>
    <w:rsid w:val="00097CCA"/>
    <w:rsid w:val="00097DDC"/>
    <w:rsid w:val="00097E29"/>
    <w:rsid w:val="00097E7B"/>
    <w:rsid w:val="000A033A"/>
    <w:rsid w:val="000A03AD"/>
    <w:rsid w:val="000A0690"/>
    <w:rsid w:val="000A087B"/>
    <w:rsid w:val="000A0925"/>
    <w:rsid w:val="000A0FF5"/>
    <w:rsid w:val="000A1075"/>
    <w:rsid w:val="000A1122"/>
    <w:rsid w:val="000A16CB"/>
    <w:rsid w:val="000A1B8F"/>
    <w:rsid w:val="000A1FC1"/>
    <w:rsid w:val="000A20EC"/>
    <w:rsid w:val="000A223D"/>
    <w:rsid w:val="000A2278"/>
    <w:rsid w:val="000A2405"/>
    <w:rsid w:val="000A2AFB"/>
    <w:rsid w:val="000A3083"/>
    <w:rsid w:val="000A349B"/>
    <w:rsid w:val="000A3707"/>
    <w:rsid w:val="000A3A61"/>
    <w:rsid w:val="000A3B38"/>
    <w:rsid w:val="000A3D10"/>
    <w:rsid w:val="000A3EBF"/>
    <w:rsid w:val="000A3FF3"/>
    <w:rsid w:val="000A4031"/>
    <w:rsid w:val="000A41F7"/>
    <w:rsid w:val="000A4255"/>
    <w:rsid w:val="000A427C"/>
    <w:rsid w:val="000A4417"/>
    <w:rsid w:val="000A46D6"/>
    <w:rsid w:val="000A479B"/>
    <w:rsid w:val="000A47B8"/>
    <w:rsid w:val="000A4A10"/>
    <w:rsid w:val="000A4AE9"/>
    <w:rsid w:val="000A4F28"/>
    <w:rsid w:val="000A551B"/>
    <w:rsid w:val="000A577D"/>
    <w:rsid w:val="000A5C7E"/>
    <w:rsid w:val="000A5DE0"/>
    <w:rsid w:val="000A5F1C"/>
    <w:rsid w:val="000A6066"/>
    <w:rsid w:val="000A64ED"/>
    <w:rsid w:val="000A6976"/>
    <w:rsid w:val="000A6BCB"/>
    <w:rsid w:val="000A6BCC"/>
    <w:rsid w:val="000A6E87"/>
    <w:rsid w:val="000A6F5C"/>
    <w:rsid w:val="000A76EC"/>
    <w:rsid w:val="000A7C5E"/>
    <w:rsid w:val="000B0071"/>
    <w:rsid w:val="000B0181"/>
    <w:rsid w:val="000B039C"/>
    <w:rsid w:val="000B03EB"/>
    <w:rsid w:val="000B041E"/>
    <w:rsid w:val="000B061A"/>
    <w:rsid w:val="000B091E"/>
    <w:rsid w:val="000B0A44"/>
    <w:rsid w:val="000B0CD8"/>
    <w:rsid w:val="000B0D3E"/>
    <w:rsid w:val="000B0E9F"/>
    <w:rsid w:val="000B1414"/>
    <w:rsid w:val="000B14A5"/>
    <w:rsid w:val="000B14E3"/>
    <w:rsid w:val="000B14E7"/>
    <w:rsid w:val="000B1539"/>
    <w:rsid w:val="000B18FD"/>
    <w:rsid w:val="000B1ABD"/>
    <w:rsid w:val="000B1AF9"/>
    <w:rsid w:val="000B1BB2"/>
    <w:rsid w:val="000B1C84"/>
    <w:rsid w:val="000B1CC6"/>
    <w:rsid w:val="000B1CDD"/>
    <w:rsid w:val="000B269A"/>
    <w:rsid w:val="000B26B4"/>
    <w:rsid w:val="000B28F8"/>
    <w:rsid w:val="000B29D7"/>
    <w:rsid w:val="000B29DF"/>
    <w:rsid w:val="000B2A7B"/>
    <w:rsid w:val="000B2E0A"/>
    <w:rsid w:val="000B3141"/>
    <w:rsid w:val="000B35CD"/>
    <w:rsid w:val="000B38FE"/>
    <w:rsid w:val="000B39B3"/>
    <w:rsid w:val="000B3A1C"/>
    <w:rsid w:val="000B3EC9"/>
    <w:rsid w:val="000B4448"/>
    <w:rsid w:val="000B44D3"/>
    <w:rsid w:val="000B49BA"/>
    <w:rsid w:val="000B4B4C"/>
    <w:rsid w:val="000B4C80"/>
    <w:rsid w:val="000B4E4A"/>
    <w:rsid w:val="000B4ECE"/>
    <w:rsid w:val="000B50B7"/>
    <w:rsid w:val="000B5503"/>
    <w:rsid w:val="000B5687"/>
    <w:rsid w:val="000B5EC0"/>
    <w:rsid w:val="000B5FBD"/>
    <w:rsid w:val="000B605F"/>
    <w:rsid w:val="000B6103"/>
    <w:rsid w:val="000B61BA"/>
    <w:rsid w:val="000B63B6"/>
    <w:rsid w:val="000B64C5"/>
    <w:rsid w:val="000B6577"/>
    <w:rsid w:val="000B65ED"/>
    <w:rsid w:val="000B68AD"/>
    <w:rsid w:val="000B7428"/>
    <w:rsid w:val="000B796A"/>
    <w:rsid w:val="000B7975"/>
    <w:rsid w:val="000B7A88"/>
    <w:rsid w:val="000B7DA1"/>
    <w:rsid w:val="000B7DCB"/>
    <w:rsid w:val="000B7E10"/>
    <w:rsid w:val="000C0041"/>
    <w:rsid w:val="000C0056"/>
    <w:rsid w:val="000C04B5"/>
    <w:rsid w:val="000C074B"/>
    <w:rsid w:val="000C0AC2"/>
    <w:rsid w:val="000C0D86"/>
    <w:rsid w:val="000C0F13"/>
    <w:rsid w:val="000C0F8D"/>
    <w:rsid w:val="000C142E"/>
    <w:rsid w:val="000C14BC"/>
    <w:rsid w:val="000C17AB"/>
    <w:rsid w:val="000C17CA"/>
    <w:rsid w:val="000C19AC"/>
    <w:rsid w:val="000C21C9"/>
    <w:rsid w:val="000C25CB"/>
    <w:rsid w:val="000C2707"/>
    <w:rsid w:val="000C27C8"/>
    <w:rsid w:val="000C2DAF"/>
    <w:rsid w:val="000C2DC6"/>
    <w:rsid w:val="000C2F04"/>
    <w:rsid w:val="000C2FBF"/>
    <w:rsid w:val="000C3011"/>
    <w:rsid w:val="000C30E1"/>
    <w:rsid w:val="000C33C1"/>
    <w:rsid w:val="000C36F7"/>
    <w:rsid w:val="000C3732"/>
    <w:rsid w:val="000C3759"/>
    <w:rsid w:val="000C3782"/>
    <w:rsid w:val="000C3853"/>
    <w:rsid w:val="000C3921"/>
    <w:rsid w:val="000C4013"/>
    <w:rsid w:val="000C4544"/>
    <w:rsid w:val="000C4603"/>
    <w:rsid w:val="000C479F"/>
    <w:rsid w:val="000C49B1"/>
    <w:rsid w:val="000C49C4"/>
    <w:rsid w:val="000C4BE7"/>
    <w:rsid w:val="000C4CE4"/>
    <w:rsid w:val="000C51F0"/>
    <w:rsid w:val="000C5361"/>
    <w:rsid w:val="000C554E"/>
    <w:rsid w:val="000C5563"/>
    <w:rsid w:val="000C56A3"/>
    <w:rsid w:val="000C5928"/>
    <w:rsid w:val="000C598D"/>
    <w:rsid w:val="000C5AB4"/>
    <w:rsid w:val="000C5AE4"/>
    <w:rsid w:val="000C5B9C"/>
    <w:rsid w:val="000C5C9F"/>
    <w:rsid w:val="000C5E38"/>
    <w:rsid w:val="000C5E88"/>
    <w:rsid w:val="000C5EE4"/>
    <w:rsid w:val="000C5EEF"/>
    <w:rsid w:val="000C5F63"/>
    <w:rsid w:val="000C601E"/>
    <w:rsid w:val="000C6147"/>
    <w:rsid w:val="000C643C"/>
    <w:rsid w:val="000C6A7A"/>
    <w:rsid w:val="000C6B33"/>
    <w:rsid w:val="000C7004"/>
    <w:rsid w:val="000C7114"/>
    <w:rsid w:val="000C731D"/>
    <w:rsid w:val="000C789B"/>
    <w:rsid w:val="000C78F8"/>
    <w:rsid w:val="000C7916"/>
    <w:rsid w:val="000C7A9D"/>
    <w:rsid w:val="000C7ABA"/>
    <w:rsid w:val="000D04E0"/>
    <w:rsid w:val="000D0647"/>
    <w:rsid w:val="000D09B2"/>
    <w:rsid w:val="000D0B90"/>
    <w:rsid w:val="000D0BEE"/>
    <w:rsid w:val="000D0CE7"/>
    <w:rsid w:val="000D100A"/>
    <w:rsid w:val="000D122F"/>
    <w:rsid w:val="000D1530"/>
    <w:rsid w:val="000D171B"/>
    <w:rsid w:val="000D1AE1"/>
    <w:rsid w:val="000D1DD7"/>
    <w:rsid w:val="000D2261"/>
    <w:rsid w:val="000D23D9"/>
    <w:rsid w:val="000D24BB"/>
    <w:rsid w:val="000D27D6"/>
    <w:rsid w:val="000D2845"/>
    <w:rsid w:val="000D2ACE"/>
    <w:rsid w:val="000D2D15"/>
    <w:rsid w:val="000D2D16"/>
    <w:rsid w:val="000D2DE0"/>
    <w:rsid w:val="000D2E54"/>
    <w:rsid w:val="000D2FCE"/>
    <w:rsid w:val="000D3008"/>
    <w:rsid w:val="000D339E"/>
    <w:rsid w:val="000D349F"/>
    <w:rsid w:val="000D3682"/>
    <w:rsid w:val="000D3BD2"/>
    <w:rsid w:val="000D3DF0"/>
    <w:rsid w:val="000D3FCD"/>
    <w:rsid w:val="000D4061"/>
    <w:rsid w:val="000D4231"/>
    <w:rsid w:val="000D4608"/>
    <w:rsid w:val="000D4670"/>
    <w:rsid w:val="000D469D"/>
    <w:rsid w:val="000D470A"/>
    <w:rsid w:val="000D4741"/>
    <w:rsid w:val="000D480F"/>
    <w:rsid w:val="000D49FB"/>
    <w:rsid w:val="000D4CF0"/>
    <w:rsid w:val="000D4D20"/>
    <w:rsid w:val="000D5064"/>
    <w:rsid w:val="000D518B"/>
    <w:rsid w:val="000D5453"/>
    <w:rsid w:val="000D5701"/>
    <w:rsid w:val="000D57E4"/>
    <w:rsid w:val="000D5A47"/>
    <w:rsid w:val="000D5A4A"/>
    <w:rsid w:val="000D5AEA"/>
    <w:rsid w:val="000D5D0F"/>
    <w:rsid w:val="000D5FF3"/>
    <w:rsid w:val="000D6199"/>
    <w:rsid w:val="000D6396"/>
    <w:rsid w:val="000D681C"/>
    <w:rsid w:val="000D6C2E"/>
    <w:rsid w:val="000D6CBE"/>
    <w:rsid w:val="000D6DCB"/>
    <w:rsid w:val="000D7092"/>
    <w:rsid w:val="000D710E"/>
    <w:rsid w:val="000D7216"/>
    <w:rsid w:val="000D744F"/>
    <w:rsid w:val="000D74FE"/>
    <w:rsid w:val="000D76FE"/>
    <w:rsid w:val="000E082E"/>
    <w:rsid w:val="000E088E"/>
    <w:rsid w:val="000E0B44"/>
    <w:rsid w:val="000E0D00"/>
    <w:rsid w:val="000E0E31"/>
    <w:rsid w:val="000E13DB"/>
    <w:rsid w:val="000E1432"/>
    <w:rsid w:val="000E153F"/>
    <w:rsid w:val="000E175D"/>
    <w:rsid w:val="000E18D9"/>
    <w:rsid w:val="000E1B13"/>
    <w:rsid w:val="000E1B8C"/>
    <w:rsid w:val="000E1B9C"/>
    <w:rsid w:val="000E1D86"/>
    <w:rsid w:val="000E1F5A"/>
    <w:rsid w:val="000E1F7D"/>
    <w:rsid w:val="000E208E"/>
    <w:rsid w:val="000E2668"/>
    <w:rsid w:val="000E288D"/>
    <w:rsid w:val="000E28DC"/>
    <w:rsid w:val="000E2A36"/>
    <w:rsid w:val="000E2BBC"/>
    <w:rsid w:val="000E2D6D"/>
    <w:rsid w:val="000E2E34"/>
    <w:rsid w:val="000E2F06"/>
    <w:rsid w:val="000E3303"/>
    <w:rsid w:val="000E331A"/>
    <w:rsid w:val="000E37F4"/>
    <w:rsid w:val="000E3838"/>
    <w:rsid w:val="000E38D2"/>
    <w:rsid w:val="000E44D7"/>
    <w:rsid w:val="000E4690"/>
    <w:rsid w:val="000E4D2F"/>
    <w:rsid w:val="000E5148"/>
    <w:rsid w:val="000E57BD"/>
    <w:rsid w:val="000E588D"/>
    <w:rsid w:val="000E5CD8"/>
    <w:rsid w:val="000E61FF"/>
    <w:rsid w:val="000E62DB"/>
    <w:rsid w:val="000E6767"/>
    <w:rsid w:val="000E696E"/>
    <w:rsid w:val="000E6A18"/>
    <w:rsid w:val="000E6AE3"/>
    <w:rsid w:val="000E6CA7"/>
    <w:rsid w:val="000E6CBF"/>
    <w:rsid w:val="000E6DEE"/>
    <w:rsid w:val="000E6E1A"/>
    <w:rsid w:val="000E6EC0"/>
    <w:rsid w:val="000E7007"/>
    <w:rsid w:val="000E7172"/>
    <w:rsid w:val="000E71FD"/>
    <w:rsid w:val="000E723A"/>
    <w:rsid w:val="000E7356"/>
    <w:rsid w:val="000E73FD"/>
    <w:rsid w:val="000E765B"/>
    <w:rsid w:val="000E7F4D"/>
    <w:rsid w:val="000F04B5"/>
    <w:rsid w:val="000F0657"/>
    <w:rsid w:val="000F09DB"/>
    <w:rsid w:val="000F1074"/>
    <w:rsid w:val="000F10ED"/>
    <w:rsid w:val="000F11B7"/>
    <w:rsid w:val="000F1275"/>
    <w:rsid w:val="000F1312"/>
    <w:rsid w:val="000F13AF"/>
    <w:rsid w:val="000F13C6"/>
    <w:rsid w:val="000F140D"/>
    <w:rsid w:val="000F1563"/>
    <w:rsid w:val="000F1953"/>
    <w:rsid w:val="000F1C97"/>
    <w:rsid w:val="000F1DFF"/>
    <w:rsid w:val="000F1ED6"/>
    <w:rsid w:val="000F1F2F"/>
    <w:rsid w:val="000F2039"/>
    <w:rsid w:val="000F224E"/>
    <w:rsid w:val="000F22D5"/>
    <w:rsid w:val="000F248F"/>
    <w:rsid w:val="000F276B"/>
    <w:rsid w:val="000F2B98"/>
    <w:rsid w:val="000F2D89"/>
    <w:rsid w:val="000F3147"/>
    <w:rsid w:val="000F33E4"/>
    <w:rsid w:val="000F372E"/>
    <w:rsid w:val="000F3890"/>
    <w:rsid w:val="000F3913"/>
    <w:rsid w:val="000F3C12"/>
    <w:rsid w:val="000F3D71"/>
    <w:rsid w:val="000F3F46"/>
    <w:rsid w:val="000F461F"/>
    <w:rsid w:val="000F49E7"/>
    <w:rsid w:val="000F4D7D"/>
    <w:rsid w:val="000F5685"/>
    <w:rsid w:val="000F5BD9"/>
    <w:rsid w:val="000F5FE6"/>
    <w:rsid w:val="000F6020"/>
    <w:rsid w:val="000F6226"/>
    <w:rsid w:val="000F6458"/>
    <w:rsid w:val="000F654E"/>
    <w:rsid w:val="000F65C1"/>
    <w:rsid w:val="000F6685"/>
    <w:rsid w:val="000F66B7"/>
    <w:rsid w:val="000F6932"/>
    <w:rsid w:val="000F6F33"/>
    <w:rsid w:val="000F710C"/>
    <w:rsid w:val="000F7511"/>
    <w:rsid w:val="000F75D6"/>
    <w:rsid w:val="000F76F0"/>
    <w:rsid w:val="000F79AB"/>
    <w:rsid w:val="000F7B5C"/>
    <w:rsid w:val="00100347"/>
    <w:rsid w:val="001005FD"/>
    <w:rsid w:val="00100609"/>
    <w:rsid w:val="0010081E"/>
    <w:rsid w:val="00100960"/>
    <w:rsid w:val="0010096B"/>
    <w:rsid w:val="00100F29"/>
    <w:rsid w:val="00100FAF"/>
    <w:rsid w:val="00101164"/>
    <w:rsid w:val="00101353"/>
    <w:rsid w:val="001013D0"/>
    <w:rsid w:val="00101461"/>
    <w:rsid w:val="001014E2"/>
    <w:rsid w:val="00101825"/>
    <w:rsid w:val="001019AA"/>
    <w:rsid w:val="00101A3D"/>
    <w:rsid w:val="00101A9B"/>
    <w:rsid w:val="00101D0D"/>
    <w:rsid w:val="00102119"/>
    <w:rsid w:val="0010235D"/>
    <w:rsid w:val="0010293A"/>
    <w:rsid w:val="001029BB"/>
    <w:rsid w:val="00102B32"/>
    <w:rsid w:val="00102C33"/>
    <w:rsid w:val="00102D81"/>
    <w:rsid w:val="00103586"/>
    <w:rsid w:val="001037A6"/>
    <w:rsid w:val="00103B56"/>
    <w:rsid w:val="00103CB5"/>
    <w:rsid w:val="00103E7B"/>
    <w:rsid w:val="00103F0C"/>
    <w:rsid w:val="00103F28"/>
    <w:rsid w:val="00103FF2"/>
    <w:rsid w:val="00104224"/>
    <w:rsid w:val="00104B7C"/>
    <w:rsid w:val="00104DAD"/>
    <w:rsid w:val="00104E2D"/>
    <w:rsid w:val="00104F75"/>
    <w:rsid w:val="00105159"/>
    <w:rsid w:val="0010522E"/>
    <w:rsid w:val="0010535A"/>
    <w:rsid w:val="00105396"/>
    <w:rsid w:val="001054F6"/>
    <w:rsid w:val="00105662"/>
    <w:rsid w:val="001059C8"/>
    <w:rsid w:val="00106227"/>
    <w:rsid w:val="00106771"/>
    <w:rsid w:val="001070F7"/>
    <w:rsid w:val="001073AC"/>
    <w:rsid w:val="00107471"/>
    <w:rsid w:val="001075B5"/>
    <w:rsid w:val="00107B79"/>
    <w:rsid w:val="00107CE4"/>
    <w:rsid w:val="00110154"/>
    <w:rsid w:val="00110496"/>
    <w:rsid w:val="00110700"/>
    <w:rsid w:val="0011070D"/>
    <w:rsid w:val="00110A49"/>
    <w:rsid w:val="00110A78"/>
    <w:rsid w:val="00110A9C"/>
    <w:rsid w:val="00110AC9"/>
    <w:rsid w:val="00110E57"/>
    <w:rsid w:val="00110E72"/>
    <w:rsid w:val="00110FF0"/>
    <w:rsid w:val="001113DA"/>
    <w:rsid w:val="001115A7"/>
    <w:rsid w:val="001115AA"/>
    <w:rsid w:val="00111674"/>
    <w:rsid w:val="00111716"/>
    <w:rsid w:val="00111AF6"/>
    <w:rsid w:val="00111F1B"/>
    <w:rsid w:val="00111FA2"/>
    <w:rsid w:val="00112129"/>
    <w:rsid w:val="00112150"/>
    <w:rsid w:val="00112A82"/>
    <w:rsid w:val="00112B2F"/>
    <w:rsid w:val="00112DD0"/>
    <w:rsid w:val="00112EFF"/>
    <w:rsid w:val="00113108"/>
    <w:rsid w:val="001133B2"/>
    <w:rsid w:val="00113B01"/>
    <w:rsid w:val="00113B37"/>
    <w:rsid w:val="00113BD4"/>
    <w:rsid w:val="001142DA"/>
    <w:rsid w:val="001145BD"/>
    <w:rsid w:val="001147F7"/>
    <w:rsid w:val="001149F8"/>
    <w:rsid w:val="00114D28"/>
    <w:rsid w:val="00114D9B"/>
    <w:rsid w:val="00114EE1"/>
    <w:rsid w:val="00114F70"/>
    <w:rsid w:val="00115235"/>
    <w:rsid w:val="0011523D"/>
    <w:rsid w:val="0011524F"/>
    <w:rsid w:val="00115479"/>
    <w:rsid w:val="001154EA"/>
    <w:rsid w:val="00115901"/>
    <w:rsid w:val="00115938"/>
    <w:rsid w:val="00115CF6"/>
    <w:rsid w:val="00115DB2"/>
    <w:rsid w:val="00115FC9"/>
    <w:rsid w:val="00116191"/>
    <w:rsid w:val="00116193"/>
    <w:rsid w:val="00116436"/>
    <w:rsid w:val="001165FD"/>
    <w:rsid w:val="00116733"/>
    <w:rsid w:val="0011680F"/>
    <w:rsid w:val="00116AFD"/>
    <w:rsid w:val="00117016"/>
    <w:rsid w:val="001171BA"/>
    <w:rsid w:val="00117307"/>
    <w:rsid w:val="00117674"/>
    <w:rsid w:val="001177D0"/>
    <w:rsid w:val="00117830"/>
    <w:rsid w:val="00117B90"/>
    <w:rsid w:val="00120137"/>
    <w:rsid w:val="001201FD"/>
    <w:rsid w:val="001202B6"/>
    <w:rsid w:val="001203CF"/>
    <w:rsid w:val="00120554"/>
    <w:rsid w:val="0012063A"/>
    <w:rsid w:val="00120797"/>
    <w:rsid w:val="00120BBF"/>
    <w:rsid w:val="00120C06"/>
    <w:rsid w:val="00120E99"/>
    <w:rsid w:val="00121064"/>
    <w:rsid w:val="001210D5"/>
    <w:rsid w:val="00121123"/>
    <w:rsid w:val="00121155"/>
    <w:rsid w:val="001211AF"/>
    <w:rsid w:val="00121401"/>
    <w:rsid w:val="00121780"/>
    <w:rsid w:val="001217C0"/>
    <w:rsid w:val="001219A7"/>
    <w:rsid w:val="00121F6D"/>
    <w:rsid w:val="001221C7"/>
    <w:rsid w:val="0012231B"/>
    <w:rsid w:val="00122683"/>
    <w:rsid w:val="00122AC2"/>
    <w:rsid w:val="00122BB3"/>
    <w:rsid w:val="00122DC5"/>
    <w:rsid w:val="00122DCD"/>
    <w:rsid w:val="00122E8B"/>
    <w:rsid w:val="0012303E"/>
    <w:rsid w:val="00123902"/>
    <w:rsid w:val="00123A45"/>
    <w:rsid w:val="00123A97"/>
    <w:rsid w:val="00123D64"/>
    <w:rsid w:val="00123E3D"/>
    <w:rsid w:val="00123F42"/>
    <w:rsid w:val="00124095"/>
    <w:rsid w:val="001240E3"/>
    <w:rsid w:val="00124643"/>
    <w:rsid w:val="00124D9D"/>
    <w:rsid w:val="0012523A"/>
    <w:rsid w:val="0012559F"/>
    <w:rsid w:val="001256B1"/>
    <w:rsid w:val="00125884"/>
    <w:rsid w:val="0012591E"/>
    <w:rsid w:val="00125C8A"/>
    <w:rsid w:val="00125E56"/>
    <w:rsid w:val="00125E8D"/>
    <w:rsid w:val="00126029"/>
    <w:rsid w:val="00126458"/>
    <w:rsid w:val="00126571"/>
    <w:rsid w:val="00126709"/>
    <w:rsid w:val="0012688B"/>
    <w:rsid w:val="001268CD"/>
    <w:rsid w:val="001268FB"/>
    <w:rsid w:val="00126937"/>
    <w:rsid w:val="001269FE"/>
    <w:rsid w:val="00126B09"/>
    <w:rsid w:val="00126E7D"/>
    <w:rsid w:val="00127793"/>
    <w:rsid w:val="001278A1"/>
    <w:rsid w:val="00127B20"/>
    <w:rsid w:val="00127D95"/>
    <w:rsid w:val="00127DB8"/>
    <w:rsid w:val="00130243"/>
    <w:rsid w:val="0013028D"/>
    <w:rsid w:val="001303BF"/>
    <w:rsid w:val="001304F9"/>
    <w:rsid w:val="0013078B"/>
    <w:rsid w:val="00130937"/>
    <w:rsid w:val="00130B60"/>
    <w:rsid w:val="00130C9C"/>
    <w:rsid w:val="00130D9D"/>
    <w:rsid w:val="00130EA5"/>
    <w:rsid w:val="0013119D"/>
    <w:rsid w:val="001311B2"/>
    <w:rsid w:val="00131437"/>
    <w:rsid w:val="0013195C"/>
    <w:rsid w:val="00131A4D"/>
    <w:rsid w:val="00131A6F"/>
    <w:rsid w:val="00131BB2"/>
    <w:rsid w:val="00131E8B"/>
    <w:rsid w:val="0013213F"/>
    <w:rsid w:val="001324A6"/>
    <w:rsid w:val="001329D4"/>
    <w:rsid w:val="001329D8"/>
    <w:rsid w:val="0013303C"/>
    <w:rsid w:val="001330CD"/>
    <w:rsid w:val="001331AD"/>
    <w:rsid w:val="0013331C"/>
    <w:rsid w:val="001335A1"/>
    <w:rsid w:val="00133A58"/>
    <w:rsid w:val="00133A9B"/>
    <w:rsid w:val="00133AA1"/>
    <w:rsid w:val="00133CE0"/>
    <w:rsid w:val="00133CF7"/>
    <w:rsid w:val="00133FF3"/>
    <w:rsid w:val="00134294"/>
    <w:rsid w:val="00134336"/>
    <w:rsid w:val="00134594"/>
    <w:rsid w:val="001345FD"/>
    <w:rsid w:val="001347AC"/>
    <w:rsid w:val="0013496E"/>
    <w:rsid w:val="00134B5A"/>
    <w:rsid w:val="00134BDB"/>
    <w:rsid w:val="00134E48"/>
    <w:rsid w:val="00134EE3"/>
    <w:rsid w:val="00134F05"/>
    <w:rsid w:val="001350E2"/>
    <w:rsid w:val="001350EF"/>
    <w:rsid w:val="00135128"/>
    <w:rsid w:val="001351B2"/>
    <w:rsid w:val="00135347"/>
    <w:rsid w:val="00135A0C"/>
    <w:rsid w:val="00135B1C"/>
    <w:rsid w:val="00135B9B"/>
    <w:rsid w:val="00135CCB"/>
    <w:rsid w:val="00135E3C"/>
    <w:rsid w:val="00135FCB"/>
    <w:rsid w:val="001365F9"/>
    <w:rsid w:val="001368B4"/>
    <w:rsid w:val="00136B73"/>
    <w:rsid w:val="00137330"/>
    <w:rsid w:val="00137401"/>
    <w:rsid w:val="00137573"/>
    <w:rsid w:val="001378E5"/>
    <w:rsid w:val="001378E7"/>
    <w:rsid w:val="00137905"/>
    <w:rsid w:val="00137A1C"/>
    <w:rsid w:val="00137AEC"/>
    <w:rsid w:val="00137D1F"/>
    <w:rsid w:val="0014004E"/>
    <w:rsid w:val="00140072"/>
    <w:rsid w:val="00140440"/>
    <w:rsid w:val="0014052F"/>
    <w:rsid w:val="00140A06"/>
    <w:rsid w:val="00140F14"/>
    <w:rsid w:val="00141383"/>
    <w:rsid w:val="001413CF"/>
    <w:rsid w:val="001415E4"/>
    <w:rsid w:val="0014185E"/>
    <w:rsid w:val="00141D59"/>
    <w:rsid w:val="00141EF3"/>
    <w:rsid w:val="001422B3"/>
    <w:rsid w:val="001424D5"/>
    <w:rsid w:val="001426FF"/>
    <w:rsid w:val="0014287C"/>
    <w:rsid w:val="00143311"/>
    <w:rsid w:val="00143328"/>
    <w:rsid w:val="00143424"/>
    <w:rsid w:val="00143C11"/>
    <w:rsid w:val="00143E0E"/>
    <w:rsid w:val="00143EFF"/>
    <w:rsid w:val="00143F7A"/>
    <w:rsid w:val="001442B6"/>
    <w:rsid w:val="001442EB"/>
    <w:rsid w:val="00144525"/>
    <w:rsid w:val="001457A7"/>
    <w:rsid w:val="001458A8"/>
    <w:rsid w:val="001458C9"/>
    <w:rsid w:val="00145C12"/>
    <w:rsid w:val="00145DA0"/>
    <w:rsid w:val="00145DAD"/>
    <w:rsid w:val="00146364"/>
    <w:rsid w:val="0014638A"/>
    <w:rsid w:val="00146474"/>
    <w:rsid w:val="00146493"/>
    <w:rsid w:val="001466C5"/>
    <w:rsid w:val="001467F7"/>
    <w:rsid w:val="00146D65"/>
    <w:rsid w:val="001476F9"/>
    <w:rsid w:val="00147A8D"/>
    <w:rsid w:val="00147A90"/>
    <w:rsid w:val="00147AFD"/>
    <w:rsid w:val="00147B3E"/>
    <w:rsid w:val="00147C2B"/>
    <w:rsid w:val="001502FD"/>
    <w:rsid w:val="001506E3"/>
    <w:rsid w:val="0015077B"/>
    <w:rsid w:val="00150B2C"/>
    <w:rsid w:val="00150D0A"/>
    <w:rsid w:val="00151148"/>
    <w:rsid w:val="0015148F"/>
    <w:rsid w:val="00151821"/>
    <w:rsid w:val="0015191C"/>
    <w:rsid w:val="00151D67"/>
    <w:rsid w:val="00152370"/>
    <w:rsid w:val="001529D9"/>
    <w:rsid w:val="00152DEC"/>
    <w:rsid w:val="00152F32"/>
    <w:rsid w:val="001533F1"/>
    <w:rsid w:val="001534ED"/>
    <w:rsid w:val="001536E6"/>
    <w:rsid w:val="00153764"/>
    <w:rsid w:val="00153838"/>
    <w:rsid w:val="00153E5D"/>
    <w:rsid w:val="00153FCD"/>
    <w:rsid w:val="001544FB"/>
    <w:rsid w:val="00154E29"/>
    <w:rsid w:val="00154EFA"/>
    <w:rsid w:val="00154F9E"/>
    <w:rsid w:val="001550D5"/>
    <w:rsid w:val="00155250"/>
    <w:rsid w:val="001553D5"/>
    <w:rsid w:val="001553E4"/>
    <w:rsid w:val="00155500"/>
    <w:rsid w:val="00155A48"/>
    <w:rsid w:val="001565C4"/>
    <w:rsid w:val="001568D1"/>
    <w:rsid w:val="00156DA0"/>
    <w:rsid w:val="00156EEC"/>
    <w:rsid w:val="001570FF"/>
    <w:rsid w:val="00157167"/>
    <w:rsid w:val="001571EA"/>
    <w:rsid w:val="001571F5"/>
    <w:rsid w:val="001573F4"/>
    <w:rsid w:val="001576C3"/>
    <w:rsid w:val="00157A7D"/>
    <w:rsid w:val="00157CA7"/>
    <w:rsid w:val="00157D82"/>
    <w:rsid w:val="00157EC6"/>
    <w:rsid w:val="00157FA9"/>
    <w:rsid w:val="00160018"/>
    <w:rsid w:val="00160084"/>
    <w:rsid w:val="001602E1"/>
    <w:rsid w:val="00160443"/>
    <w:rsid w:val="00160483"/>
    <w:rsid w:val="00160A85"/>
    <w:rsid w:val="00160FCD"/>
    <w:rsid w:val="001616AA"/>
    <w:rsid w:val="001617DE"/>
    <w:rsid w:val="00161F13"/>
    <w:rsid w:val="00161F7D"/>
    <w:rsid w:val="001624C2"/>
    <w:rsid w:val="001624D1"/>
    <w:rsid w:val="001624D4"/>
    <w:rsid w:val="00162A6D"/>
    <w:rsid w:val="00162C4B"/>
    <w:rsid w:val="00162E01"/>
    <w:rsid w:val="001630CC"/>
    <w:rsid w:val="0016323B"/>
    <w:rsid w:val="0016340B"/>
    <w:rsid w:val="00163921"/>
    <w:rsid w:val="00163A9C"/>
    <w:rsid w:val="00163EC1"/>
    <w:rsid w:val="00164053"/>
    <w:rsid w:val="0016405B"/>
    <w:rsid w:val="001642F3"/>
    <w:rsid w:val="0016455C"/>
    <w:rsid w:val="001645A6"/>
    <w:rsid w:val="001646EC"/>
    <w:rsid w:val="00164774"/>
    <w:rsid w:val="00164A69"/>
    <w:rsid w:val="00164D10"/>
    <w:rsid w:val="00164D6E"/>
    <w:rsid w:val="00164DEE"/>
    <w:rsid w:val="00164E4F"/>
    <w:rsid w:val="0016515C"/>
    <w:rsid w:val="00165240"/>
    <w:rsid w:val="0016534D"/>
    <w:rsid w:val="0016540F"/>
    <w:rsid w:val="00165CEE"/>
    <w:rsid w:val="00166945"/>
    <w:rsid w:val="001669A7"/>
    <w:rsid w:val="00166C0C"/>
    <w:rsid w:val="00166C7D"/>
    <w:rsid w:val="00166DF3"/>
    <w:rsid w:val="00166F1D"/>
    <w:rsid w:val="00166F9C"/>
    <w:rsid w:val="00166FB4"/>
    <w:rsid w:val="001671A6"/>
    <w:rsid w:val="00167286"/>
    <w:rsid w:val="00167326"/>
    <w:rsid w:val="0016741D"/>
    <w:rsid w:val="00167497"/>
    <w:rsid w:val="001677A7"/>
    <w:rsid w:val="0016780A"/>
    <w:rsid w:val="001678DA"/>
    <w:rsid w:val="001679D1"/>
    <w:rsid w:val="00167D38"/>
    <w:rsid w:val="00167DAB"/>
    <w:rsid w:val="00167DD8"/>
    <w:rsid w:val="001700AF"/>
    <w:rsid w:val="00170121"/>
    <w:rsid w:val="001701A8"/>
    <w:rsid w:val="001702E7"/>
    <w:rsid w:val="00170436"/>
    <w:rsid w:val="0017044A"/>
    <w:rsid w:val="001707B8"/>
    <w:rsid w:val="001709BD"/>
    <w:rsid w:val="001709E9"/>
    <w:rsid w:val="00170AA9"/>
    <w:rsid w:val="001712AC"/>
    <w:rsid w:val="0017136D"/>
    <w:rsid w:val="00171D6F"/>
    <w:rsid w:val="00171D89"/>
    <w:rsid w:val="001722D1"/>
    <w:rsid w:val="00172302"/>
    <w:rsid w:val="00172456"/>
    <w:rsid w:val="00172689"/>
    <w:rsid w:val="0017269F"/>
    <w:rsid w:val="00172B94"/>
    <w:rsid w:val="00172E26"/>
    <w:rsid w:val="00172F9C"/>
    <w:rsid w:val="001732AF"/>
    <w:rsid w:val="001732B1"/>
    <w:rsid w:val="00173551"/>
    <w:rsid w:val="00173906"/>
    <w:rsid w:val="001739A3"/>
    <w:rsid w:val="00173C01"/>
    <w:rsid w:val="00173D0B"/>
    <w:rsid w:val="00173E55"/>
    <w:rsid w:val="00173E88"/>
    <w:rsid w:val="00174103"/>
    <w:rsid w:val="0017410D"/>
    <w:rsid w:val="001741DC"/>
    <w:rsid w:val="00174550"/>
    <w:rsid w:val="00174770"/>
    <w:rsid w:val="001747A9"/>
    <w:rsid w:val="001748AD"/>
    <w:rsid w:val="00174BB1"/>
    <w:rsid w:val="00174DA5"/>
    <w:rsid w:val="00174DBE"/>
    <w:rsid w:val="001750F3"/>
    <w:rsid w:val="001757C5"/>
    <w:rsid w:val="00175D15"/>
    <w:rsid w:val="0017613E"/>
    <w:rsid w:val="00176217"/>
    <w:rsid w:val="00176319"/>
    <w:rsid w:val="0017659D"/>
    <w:rsid w:val="001768F5"/>
    <w:rsid w:val="00176A2D"/>
    <w:rsid w:val="001771AB"/>
    <w:rsid w:val="0017725F"/>
    <w:rsid w:val="001773C8"/>
    <w:rsid w:val="0017748C"/>
    <w:rsid w:val="00177D48"/>
    <w:rsid w:val="00177E09"/>
    <w:rsid w:val="0018012D"/>
    <w:rsid w:val="00180329"/>
    <w:rsid w:val="0018043C"/>
    <w:rsid w:val="00180570"/>
    <w:rsid w:val="00180711"/>
    <w:rsid w:val="0018071E"/>
    <w:rsid w:val="001807D4"/>
    <w:rsid w:val="00180979"/>
    <w:rsid w:val="00180995"/>
    <w:rsid w:val="0018099D"/>
    <w:rsid w:val="00180AA4"/>
    <w:rsid w:val="00180BC9"/>
    <w:rsid w:val="00181462"/>
    <w:rsid w:val="00181874"/>
    <w:rsid w:val="00181B10"/>
    <w:rsid w:val="00181DD5"/>
    <w:rsid w:val="0018226B"/>
    <w:rsid w:val="0018259E"/>
    <w:rsid w:val="00182AB4"/>
    <w:rsid w:val="00182D6A"/>
    <w:rsid w:val="00182D87"/>
    <w:rsid w:val="00182F27"/>
    <w:rsid w:val="00182F64"/>
    <w:rsid w:val="00183124"/>
    <w:rsid w:val="00183228"/>
    <w:rsid w:val="001834B3"/>
    <w:rsid w:val="001836B9"/>
    <w:rsid w:val="00183C04"/>
    <w:rsid w:val="00183ECA"/>
    <w:rsid w:val="00183F17"/>
    <w:rsid w:val="00184303"/>
    <w:rsid w:val="001845AB"/>
    <w:rsid w:val="00184626"/>
    <w:rsid w:val="0018465C"/>
    <w:rsid w:val="001849C3"/>
    <w:rsid w:val="00184DEB"/>
    <w:rsid w:val="00184E26"/>
    <w:rsid w:val="0018518A"/>
    <w:rsid w:val="0018542C"/>
    <w:rsid w:val="00185566"/>
    <w:rsid w:val="001857D8"/>
    <w:rsid w:val="00185833"/>
    <w:rsid w:val="00185E43"/>
    <w:rsid w:val="00185E8A"/>
    <w:rsid w:val="00186040"/>
    <w:rsid w:val="0018651E"/>
    <w:rsid w:val="001867F1"/>
    <w:rsid w:val="00186A82"/>
    <w:rsid w:val="00186AE6"/>
    <w:rsid w:val="00186DDD"/>
    <w:rsid w:val="0018735B"/>
    <w:rsid w:val="001874F4"/>
    <w:rsid w:val="001874FD"/>
    <w:rsid w:val="001876DF"/>
    <w:rsid w:val="001876E6"/>
    <w:rsid w:val="00187B39"/>
    <w:rsid w:val="001900FB"/>
    <w:rsid w:val="0019067B"/>
    <w:rsid w:val="001908D7"/>
    <w:rsid w:val="00190B6A"/>
    <w:rsid w:val="00190C29"/>
    <w:rsid w:val="00191013"/>
    <w:rsid w:val="001911B3"/>
    <w:rsid w:val="0019123D"/>
    <w:rsid w:val="001914A8"/>
    <w:rsid w:val="00191502"/>
    <w:rsid w:val="001919E6"/>
    <w:rsid w:val="00191A32"/>
    <w:rsid w:val="00191DBB"/>
    <w:rsid w:val="0019207E"/>
    <w:rsid w:val="00192354"/>
    <w:rsid w:val="00192ACB"/>
    <w:rsid w:val="0019307C"/>
    <w:rsid w:val="00193C93"/>
    <w:rsid w:val="00193CC2"/>
    <w:rsid w:val="00193DAE"/>
    <w:rsid w:val="00193E00"/>
    <w:rsid w:val="00193E4D"/>
    <w:rsid w:val="00193FBB"/>
    <w:rsid w:val="00194192"/>
    <w:rsid w:val="001942EB"/>
    <w:rsid w:val="0019430D"/>
    <w:rsid w:val="0019470B"/>
    <w:rsid w:val="001947AB"/>
    <w:rsid w:val="001947D8"/>
    <w:rsid w:val="0019484C"/>
    <w:rsid w:val="00194992"/>
    <w:rsid w:val="00194B2D"/>
    <w:rsid w:val="00194CC7"/>
    <w:rsid w:val="00194E71"/>
    <w:rsid w:val="00194EBC"/>
    <w:rsid w:val="0019520F"/>
    <w:rsid w:val="0019549A"/>
    <w:rsid w:val="0019556F"/>
    <w:rsid w:val="00195915"/>
    <w:rsid w:val="00195DFA"/>
    <w:rsid w:val="00196023"/>
    <w:rsid w:val="0019607F"/>
    <w:rsid w:val="0019616F"/>
    <w:rsid w:val="001961A1"/>
    <w:rsid w:val="001967CF"/>
    <w:rsid w:val="00196807"/>
    <w:rsid w:val="0019682E"/>
    <w:rsid w:val="001969B9"/>
    <w:rsid w:val="00196AEC"/>
    <w:rsid w:val="00196BBF"/>
    <w:rsid w:val="00196BE2"/>
    <w:rsid w:val="00196D1D"/>
    <w:rsid w:val="00196FDD"/>
    <w:rsid w:val="0019709F"/>
    <w:rsid w:val="0019723B"/>
    <w:rsid w:val="001976EE"/>
    <w:rsid w:val="00197964"/>
    <w:rsid w:val="00197986"/>
    <w:rsid w:val="00197B03"/>
    <w:rsid w:val="00197F7F"/>
    <w:rsid w:val="001A073C"/>
    <w:rsid w:val="001A07FA"/>
    <w:rsid w:val="001A0F7B"/>
    <w:rsid w:val="001A126C"/>
    <w:rsid w:val="001A153A"/>
    <w:rsid w:val="001A18AF"/>
    <w:rsid w:val="001A1A04"/>
    <w:rsid w:val="001A1BFE"/>
    <w:rsid w:val="001A1D7F"/>
    <w:rsid w:val="001A1E0D"/>
    <w:rsid w:val="001A1F1A"/>
    <w:rsid w:val="001A23FA"/>
    <w:rsid w:val="001A2484"/>
    <w:rsid w:val="001A2646"/>
    <w:rsid w:val="001A288A"/>
    <w:rsid w:val="001A2C7B"/>
    <w:rsid w:val="001A2D13"/>
    <w:rsid w:val="001A2F75"/>
    <w:rsid w:val="001A3093"/>
    <w:rsid w:val="001A332D"/>
    <w:rsid w:val="001A3389"/>
    <w:rsid w:val="001A3CC7"/>
    <w:rsid w:val="001A3D04"/>
    <w:rsid w:val="001A3E2F"/>
    <w:rsid w:val="001A3E7E"/>
    <w:rsid w:val="001A3EEF"/>
    <w:rsid w:val="001A3EFA"/>
    <w:rsid w:val="001A4216"/>
    <w:rsid w:val="001A4217"/>
    <w:rsid w:val="001A47E3"/>
    <w:rsid w:val="001A4834"/>
    <w:rsid w:val="001A48D0"/>
    <w:rsid w:val="001A5213"/>
    <w:rsid w:val="001A5230"/>
    <w:rsid w:val="001A5A96"/>
    <w:rsid w:val="001A5D6D"/>
    <w:rsid w:val="001A5FD7"/>
    <w:rsid w:val="001A6100"/>
    <w:rsid w:val="001A629E"/>
    <w:rsid w:val="001A6347"/>
    <w:rsid w:val="001A63D3"/>
    <w:rsid w:val="001A6880"/>
    <w:rsid w:val="001A699A"/>
    <w:rsid w:val="001A6ADA"/>
    <w:rsid w:val="001A6D0D"/>
    <w:rsid w:val="001A6D70"/>
    <w:rsid w:val="001A6DFB"/>
    <w:rsid w:val="001A6EB9"/>
    <w:rsid w:val="001A6F07"/>
    <w:rsid w:val="001A72CC"/>
    <w:rsid w:val="001A77F7"/>
    <w:rsid w:val="001A7808"/>
    <w:rsid w:val="001A7888"/>
    <w:rsid w:val="001A7BAD"/>
    <w:rsid w:val="001A7CE9"/>
    <w:rsid w:val="001A7E50"/>
    <w:rsid w:val="001B0126"/>
    <w:rsid w:val="001B024B"/>
    <w:rsid w:val="001B038E"/>
    <w:rsid w:val="001B0A86"/>
    <w:rsid w:val="001B0E7A"/>
    <w:rsid w:val="001B0EF9"/>
    <w:rsid w:val="001B101C"/>
    <w:rsid w:val="001B14CF"/>
    <w:rsid w:val="001B17C6"/>
    <w:rsid w:val="001B18B3"/>
    <w:rsid w:val="001B1F9D"/>
    <w:rsid w:val="001B206D"/>
    <w:rsid w:val="001B22C9"/>
    <w:rsid w:val="001B236F"/>
    <w:rsid w:val="001B2903"/>
    <w:rsid w:val="001B2A27"/>
    <w:rsid w:val="001B2FAA"/>
    <w:rsid w:val="001B328E"/>
    <w:rsid w:val="001B346B"/>
    <w:rsid w:val="001B34B2"/>
    <w:rsid w:val="001B36E3"/>
    <w:rsid w:val="001B36F5"/>
    <w:rsid w:val="001B382D"/>
    <w:rsid w:val="001B406E"/>
    <w:rsid w:val="001B4084"/>
    <w:rsid w:val="001B41C2"/>
    <w:rsid w:val="001B46E4"/>
    <w:rsid w:val="001B47FF"/>
    <w:rsid w:val="001B4883"/>
    <w:rsid w:val="001B496C"/>
    <w:rsid w:val="001B4B65"/>
    <w:rsid w:val="001B4C18"/>
    <w:rsid w:val="001B4DBF"/>
    <w:rsid w:val="001B4F9C"/>
    <w:rsid w:val="001B50EA"/>
    <w:rsid w:val="001B52E2"/>
    <w:rsid w:val="001B5824"/>
    <w:rsid w:val="001B5AD0"/>
    <w:rsid w:val="001B5BF8"/>
    <w:rsid w:val="001B5C22"/>
    <w:rsid w:val="001B5F4F"/>
    <w:rsid w:val="001B6925"/>
    <w:rsid w:val="001B6B8F"/>
    <w:rsid w:val="001B6BE0"/>
    <w:rsid w:val="001B6D86"/>
    <w:rsid w:val="001B6EE3"/>
    <w:rsid w:val="001B6F1A"/>
    <w:rsid w:val="001B7032"/>
    <w:rsid w:val="001B70F6"/>
    <w:rsid w:val="001B7195"/>
    <w:rsid w:val="001B71C7"/>
    <w:rsid w:val="001B7278"/>
    <w:rsid w:val="001B744F"/>
    <w:rsid w:val="001B7A37"/>
    <w:rsid w:val="001B7C99"/>
    <w:rsid w:val="001B7D36"/>
    <w:rsid w:val="001B7D71"/>
    <w:rsid w:val="001B7F01"/>
    <w:rsid w:val="001C0111"/>
    <w:rsid w:val="001C03F2"/>
    <w:rsid w:val="001C04D3"/>
    <w:rsid w:val="001C0B11"/>
    <w:rsid w:val="001C0C4C"/>
    <w:rsid w:val="001C0C5D"/>
    <w:rsid w:val="001C0E52"/>
    <w:rsid w:val="001C1073"/>
    <w:rsid w:val="001C10FA"/>
    <w:rsid w:val="001C167F"/>
    <w:rsid w:val="001C16A7"/>
    <w:rsid w:val="001C17B4"/>
    <w:rsid w:val="001C1974"/>
    <w:rsid w:val="001C199D"/>
    <w:rsid w:val="001C1EF5"/>
    <w:rsid w:val="001C1F84"/>
    <w:rsid w:val="001C21FA"/>
    <w:rsid w:val="001C226B"/>
    <w:rsid w:val="001C249B"/>
    <w:rsid w:val="001C25D1"/>
    <w:rsid w:val="001C2788"/>
    <w:rsid w:val="001C2B68"/>
    <w:rsid w:val="001C2DBE"/>
    <w:rsid w:val="001C349B"/>
    <w:rsid w:val="001C3570"/>
    <w:rsid w:val="001C357E"/>
    <w:rsid w:val="001C36E3"/>
    <w:rsid w:val="001C36F9"/>
    <w:rsid w:val="001C385D"/>
    <w:rsid w:val="001C3963"/>
    <w:rsid w:val="001C3AD3"/>
    <w:rsid w:val="001C3AE7"/>
    <w:rsid w:val="001C3F72"/>
    <w:rsid w:val="001C4447"/>
    <w:rsid w:val="001C4747"/>
    <w:rsid w:val="001C48C4"/>
    <w:rsid w:val="001C4E75"/>
    <w:rsid w:val="001C52AF"/>
    <w:rsid w:val="001C5501"/>
    <w:rsid w:val="001C57C0"/>
    <w:rsid w:val="001C5C88"/>
    <w:rsid w:val="001C5F38"/>
    <w:rsid w:val="001C6308"/>
    <w:rsid w:val="001C686D"/>
    <w:rsid w:val="001C6B86"/>
    <w:rsid w:val="001C6C2A"/>
    <w:rsid w:val="001C6D93"/>
    <w:rsid w:val="001C6E9C"/>
    <w:rsid w:val="001C6F35"/>
    <w:rsid w:val="001C6FA6"/>
    <w:rsid w:val="001C71E1"/>
    <w:rsid w:val="001C7288"/>
    <w:rsid w:val="001C7363"/>
    <w:rsid w:val="001C7FCF"/>
    <w:rsid w:val="001D0AAA"/>
    <w:rsid w:val="001D0B33"/>
    <w:rsid w:val="001D0DF9"/>
    <w:rsid w:val="001D113C"/>
    <w:rsid w:val="001D116D"/>
    <w:rsid w:val="001D137D"/>
    <w:rsid w:val="001D1658"/>
    <w:rsid w:val="001D1C68"/>
    <w:rsid w:val="001D1FAB"/>
    <w:rsid w:val="001D22EA"/>
    <w:rsid w:val="001D235B"/>
    <w:rsid w:val="001D2389"/>
    <w:rsid w:val="001D243A"/>
    <w:rsid w:val="001D24BB"/>
    <w:rsid w:val="001D2A50"/>
    <w:rsid w:val="001D2A78"/>
    <w:rsid w:val="001D2ACA"/>
    <w:rsid w:val="001D2DC3"/>
    <w:rsid w:val="001D3010"/>
    <w:rsid w:val="001D3875"/>
    <w:rsid w:val="001D38A6"/>
    <w:rsid w:val="001D431A"/>
    <w:rsid w:val="001D47E9"/>
    <w:rsid w:val="001D4809"/>
    <w:rsid w:val="001D4984"/>
    <w:rsid w:val="001D4A2F"/>
    <w:rsid w:val="001D4D46"/>
    <w:rsid w:val="001D4FC0"/>
    <w:rsid w:val="001D5613"/>
    <w:rsid w:val="001D56B2"/>
    <w:rsid w:val="001D5A1D"/>
    <w:rsid w:val="001D5AB8"/>
    <w:rsid w:val="001D5D08"/>
    <w:rsid w:val="001D5D43"/>
    <w:rsid w:val="001D5ED3"/>
    <w:rsid w:val="001D61F1"/>
    <w:rsid w:val="001D62FB"/>
    <w:rsid w:val="001D66C0"/>
    <w:rsid w:val="001D6734"/>
    <w:rsid w:val="001D6A53"/>
    <w:rsid w:val="001D6F60"/>
    <w:rsid w:val="001D749F"/>
    <w:rsid w:val="001D76C8"/>
    <w:rsid w:val="001D76DC"/>
    <w:rsid w:val="001D772E"/>
    <w:rsid w:val="001D77EB"/>
    <w:rsid w:val="001D798D"/>
    <w:rsid w:val="001D79F8"/>
    <w:rsid w:val="001D7BBA"/>
    <w:rsid w:val="001D7BD7"/>
    <w:rsid w:val="001D7F02"/>
    <w:rsid w:val="001D7F51"/>
    <w:rsid w:val="001E0049"/>
    <w:rsid w:val="001E017E"/>
    <w:rsid w:val="001E02B2"/>
    <w:rsid w:val="001E03CD"/>
    <w:rsid w:val="001E059F"/>
    <w:rsid w:val="001E064E"/>
    <w:rsid w:val="001E0664"/>
    <w:rsid w:val="001E0889"/>
    <w:rsid w:val="001E0C9D"/>
    <w:rsid w:val="001E0E56"/>
    <w:rsid w:val="001E0EC2"/>
    <w:rsid w:val="001E1056"/>
    <w:rsid w:val="001E118E"/>
    <w:rsid w:val="001E1276"/>
    <w:rsid w:val="001E162D"/>
    <w:rsid w:val="001E1826"/>
    <w:rsid w:val="001E1A02"/>
    <w:rsid w:val="001E1C4B"/>
    <w:rsid w:val="001E1C9D"/>
    <w:rsid w:val="001E1E24"/>
    <w:rsid w:val="001E1E5F"/>
    <w:rsid w:val="001E1EF0"/>
    <w:rsid w:val="001E253F"/>
    <w:rsid w:val="001E2556"/>
    <w:rsid w:val="001E2642"/>
    <w:rsid w:val="001E2785"/>
    <w:rsid w:val="001E2803"/>
    <w:rsid w:val="001E2824"/>
    <w:rsid w:val="001E2AC7"/>
    <w:rsid w:val="001E2B5F"/>
    <w:rsid w:val="001E2BDA"/>
    <w:rsid w:val="001E2FE9"/>
    <w:rsid w:val="001E316D"/>
    <w:rsid w:val="001E3534"/>
    <w:rsid w:val="001E4243"/>
    <w:rsid w:val="001E42DF"/>
    <w:rsid w:val="001E450A"/>
    <w:rsid w:val="001E452D"/>
    <w:rsid w:val="001E45B2"/>
    <w:rsid w:val="001E45DD"/>
    <w:rsid w:val="001E4886"/>
    <w:rsid w:val="001E48D6"/>
    <w:rsid w:val="001E4D58"/>
    <w:rsid w:val="001E4DF0"/>
    <w:rsid w:val="001E5387"/>
    <w:rsid w:val="001E5434"/>
    <w:rsid w:val="001E5494"/>
    <w:rsid w:val="001E590C"/>
    <w:rsid w:val="001E5A19"/>
    <w:rsid w:val="001E5A9A"/>
    <w:rsid w:val="001E5B1E"/>
    <w:rsid w:val="001E5C27"/>
    <w:rsid w:val="001E5CBF"/>
    <w:rsid w:val="001E5EDC"/>
    <w:rsid w:val="001E5EE2"/>
    <w:rsid w:val="001E605F"/>
    <w:rsid w:val="001E65A0"/>
    <w:rsid w:val="001E68C9"/>
    <w:rsid w:val="001E6A53"/>
    <w:rsid w:val="001E6B35"/>
    <w:rsid w:val="001E6B9F"/>
    <w:rsid w:val="001E6BA2"/>
    <w:rsid w:val="001E6E68"/>
    <w:rsid w:val="001E6E98"/>
    <w:rsid w:val="001E708C"/>
    <w:rsid w:val="001E75A8"/>
    <w:rsid w:val="001E78AC"/>
    <w:rsid w:val="001E7FC9"/>
    <w:rsid w:val="001F00A6"/>
    <w:rsid w:val="001F03E8"/>
    <w:rsid w:val="001F044B"/>
    <w:rsid w:val="001F05AD"/>
    <w:rsid w:val="001F0AA1"/>
    <w:rsid w:val="001F0BC5"/>
    <w:rsid w:val="001F0D9F"/>
    <w:rsid w:val="001F0E79"/>
    <w:rsid w:val="001F1063"/>
    <w:rsid w:val="001F15A9"/>
    <w:rsid w:val="001F172A"/>
    <w:rsid w:val="001F23AB"/>
    <w:rsid w:val="001F2564"/>
    <w:rsid w:val="001F25E9"/>
    <w:rsid w:val="001F2861"/>
    <w:rsid w:val="001F2C68"/>
    <w:rsid w:val="001F33C3"/>
    <w:rsid w:val="001F345F"/>
    <w:rsid w:val="001F3601"/>
    <w:rsid w:val="001F4666"/>
    <w:rsid w:val="001F48A6"/>
    <w:rsid w:val="001F4909"/>
    <w:rsid w:val="001F4B54"/>
    <w:rsid w:val="001F4CE1"/>
    <w:rsid w:val="001F4D13"/>
    <w:rsid w:val="001F58D3"/>
    <w:rsid w:val="001F5D28"/>
    <w:rsid w:val="001F5E1D"/>
    <w:rsid w:val="001F60A6"/>
    <w:rsid w:val="001F60CC"/>
    <w:rsid w:val="001F61A1"/>
    <w:rsid w:val="001F62EE"/>
    <w:rsid w:val="001F6403"/>
    <w:rsid w:val="001F6586"/>
    <w:rsid w:val="001F66D2"/>
    <w:rsid w:val="001F6BC6"/>
    <w:rsid w:val="001F707E"/>
    <w:rsid w:val="001F732A"/>
    <w:rsid w:val="001F756A"/>
    <w:rsid w:val="001F76DE"/>
    <w:rsid w:val="001F76DF"/>
    <w:rsid w:val="001F7977"/>
    <w:rsid w:val="001F7A5F"/>
    <w:rsid w:val="001F7B40"/>
    <w:rsid w:val="001F7C63"/>
    <w:rsid w:val="002002B6"/>
    <w:rsid w:val="002004E5"/>
    <w:rsid w:val="002007C0"/>
    <w:rsid w:val="002007C9"/>
    <w:rsid w:val="00200A2C"/>
    <w:rsid w:val="00200CCF"/>
    <w:rsid w:val="00200E4A"/>
    <w:rsid w:val="00200E91"/>
    <w:rsid w:val="00201005"/>
    <w:rsid w:val="002010B9"/>
    <w:rsid w:val="002017C1"/>
    <w:rsid w:val="00201DA1"/>
    <w:rsid w:val="002020D4"/>
    <w:rsid w:val="002028C6"/>
    <w:rsid w:val="002028EF"/>
    <w:rsid w:val="002030C6"/>
    <w:rsid w:val="002030D0"/>
    <w:rsid w:val="002032FC"/>
    <w:rsid w:val="00203365"/>
    <w:rsid w:val="0020340F"/>
    <w:rsid w:val="002037F8"/>
    <w:rsid w:val="002039AB"/>
    <w:rsid w:val="00203A18"/>
    <w:rsid w:val="00203DC2"/>
    <w:rsid w:val="00203E84"/>
    <w:rsid w:val="00203F94"/>
    <w:rsid w:val="002043AB"/>
    <w:rsid w:val="00204443"/>
    <w:rsid w:val="002048E2"/>
    <w:rsid w:val="00205459"/>
    <w:rsid w:val="00205FDF"/>
    <w:rsid w:val="002060B7"/>
    <w:rsid w:val="00206299"/>
    <w:rsid w:val="0020689F"/>
    <w:rsid w:val="00207076"/>
    <w:rsid w:val="00207084"/>
    <w:rsid w:val="00207311"/>
    <w:rsid w:val="002074E3"/>
    <w:rsid w:val="002075A7"/>
    <w:rsid w:val="00207934"/>
    <w:rsid w:val="002079FB"/>
    <w:rsid w:val="00207F24"/>
    <w:rsid w:val="002100C7"/>
    <w:rsid w:val="00210242"/>
    <w:rsid w:val="0021030B"/>
    <w:rsid w:val="0021030D"/>
    <w:rsid w:val="00210366"/>
    <w:rsid w:val="002103CF"/>
    <w:rsid w:val="00210411"/>
    <w:rsid w:val="002108F4"/>
    <w:rsid w:val="00210A85"/>
    <w:rsid w:val="00210AA9"/>
    <w:rsid w:val="00210BB2"/>
    <w:rsid w:val="00210C64"/>
    <w:rsid w:val="00210C9A"/>
    <w:rsid w:val="00210DCD"/>
    <w:rsid w:val="00210E55"/>
    <w:rsid w:val="00210F8E"/>
    <w:rsid w:val="00210FD3"/>
    <w:rsid w:val="00211082"/>
    <w:rsid w:val="002113A6"/>
    <w:rsid w:val="002118B9"/>
    <w:rsid w:val="00211984"/>
    <w:rsid w:val="00211A12"/>
    <w:rsid w:val="00211AA1"/>
    <w:rsid w:val="00211DED"/>
    <w:rsid w:val="00212048"/>
    <w:rsid w:val="00212127"/>
    <w:rsid w:val="0021216C"/>
    <w:rsid w:val="00212284"/>
    <w:rsid w:val="002125E0"/>
    <w:rsid w:val="002129B0"/>
    <w:rsid w:val="00212AA1"/>
    <w:rsid w:val="00212B57"/>
    <w:rsid w:val="00212F80"/>
    <w:rsid w:val="00212FA7"/>
    <w:rsid w:val="00212FC8"/>
    <w:rsid w:val="00212FE2"/>
    <w:rsid w:val="0021305D"/>
    <w:rsid w:val="00213359"/>
    <w:rsid w:val="0021343C"/>
    <w:rsid w:val="002134FA"/>
    <w:rsid w:val="00213517"/>
    <w:rsid w:val="00213667"/>
    <w:rsid w:val="00213C23"/>
    <w:rsid w:val="00213C48"/>
    <w:rsid w:val="00213C57"/>
    <w:rsid w:val="00213CE9"/>
    <w:rsid w:val="00213EF4"/>
    <w:rsid w:val="00214569"/>
    <w:rsid w:val="002147BC"/>
    <w:rsid w:val="0021488D"/>
    <w:rsid w:val="00214A17"/>
    <w:rsid w:val="00215342"/>
    <w:rsid w:val="0021585F"/>
    <w:rsid w:val="00215AAA"/>
    <w:rsid w:val="00215B8A"/>
    <w:rsid w:val="00215C8D"/>
    <w:rsid w:val="00215FB9"/>
    <w:rsid w:val="00216093"/>
    <w:rsid w:val="00216374"/>
    <w:rsid w:val="00216446"/>
    <w:rsid w:val="0021651F"/>
    <w:rsid w:val="0021677C"/>
    <w:rsid w:val="00216890"/>
    <w:rsid w:val="00216CBE"/>
    <w:rsid w:val="00216D06"/>
    <w:rsid w:val="00216DC3"/>
    <w:rsid w:val="00216EA5"/>
    <w:rsid w:val="00216FFE"/>
    <w:rsid w:val="00217149"/>
    <w:rsid w:val="002171E6"/>
    <w:rsid w:val="002172BD"/>
    <w:rsid w:val="00217368"/>
    <w:rsid w:val="00217AD4"/>
    <w:rsid w:val="00217D3C"/>
    <w:rsid w:val="00217DCD"/>
    <w:rsid w:val="00217E65"/>
    <w:rsid w:val="002200DC"/>
    <w:rsid w:val="00220446"/>
    <w:rsid w:val="0022084C"/>
    <w:rsid w:val="00220992"/>
    <w:rsid w:val="00220B31"/>
    <w:rsid w:val="00220E6F"/>
    <w:rsid w:val="00221307"/>
    <w:rsid w:val="002213EE"/>
    <w:rsid w:val="0022149B"/>
    <w:rsid w:val="002216E5"/>
    <w:rsid w:val="0022181E"/>
    <w:rsid w:val="00221A5F"/>
    <w:rsid w:val="00221C63"/>
    <w:rsid w:val="00221CCD"/>
    <w:rsid w:val="00221D35"/>
    <w:rsid w:val="00221FDE"/>
    <w:rsid w:val="00222097"/>
    <w:rsid w:val="002221DE"/>
    <w:rsid w:val="002221EA"/>
    <w:rsid w:val="0022252A"/>
    <w:rsid w:val="00222581"/>
    <w:rsid w:val="002226E8"/>
    <w:rsid w:val="00222891"/>
    <w:rsid w:val="00222E49"/>
    <w:rsid w:val="00223375"/>
    <w:rsid w:val="00223471"/>
    <w:rsid w:val="002235C0"/>
    <w:rsid w:val="00223658"/>
    <w:rsid w:val="00223800"/>
    <w:rsid w:val="00223B54"/>
    <w:rsid w:val="00223CE8"/>
    <w:rsid w:val="00223D26"/>
    <w:rsid w:val="00224021"/>
    <w:rsid w:val="00224CE5"/>
    <w:rsid w:val="00225196"/>
    <w:rsid w:val="00225425"/>
    <w:rsid w:val="002254D2"/>
    <w:rsid w:val="00225976"/>
    <w:rsid w:val="002259AB"/>
    <w:rsid w:val="00225BA8"/>
    <w:rsid w:val="00226020"/>
    <w:rsid w:val="00226582"/>
    <w:rsid w:val="00226628"/>
    <w:rsid w:val="00226683"/>
    <w:rsid w:val="0022687B"/>
    <w:rsid w:val="00226B14"/>
    <w:rsid w:val="00226D7F"/>
    <w:rsid w:val="00226D9E"/>
    <w:rsid w:val="00227654"/>
    <w:rsid w:val="002277BC"/>
    <w:rsid w:val="002277D6"/>
    <w:rsid w:val="00227B88"/>
    <w:rsid w:val="00227BFC"/>
    <w:rsid w:val="00227D35"/>
    <w:rsid w:val="00230142"/>
    <w:rsid w:val="00230168"/>
    <w:rsid w:val="002302BE"/>
    <w:rsid w:val="002302F4"/>
    <w:rsid w:val="00230440"/>
    <w:rsid w:val="00230496"/>
    <w:rsid w:val="002306D2"/>
    <w:rsid w:val="002306D4"/>
    <w:rsid w:val="002309EC"/>
    <w:rsid w:val="00230D97"/>
    <w:rsid w:val="00230E1B"/>
    <w:rsid w:val="00231899"/>
    <w:rsid w:val="002319B9"/>
    <w:rsid w:val="00231A9E"/>
    <w:rsid w:val="00231E20"/>
    <w:rsid w:val="002321D8"/>
    <w:rsid w:val="002323B6"/>
    <w:rsid w:val="002325BE"/>
    <w:rsid w:val="0023262E"/>
    <w:rsid w:val="002326D5"/>
    <w:rsid w:val="0023276B"/>
    <w:rsid w:val="00232876"/>
    <w:rsid w:val="00232A98"/>
    <w:rsid w:val="00232CCD"/>
    <w:rsid w:val="00233161"/>
    <w:rsid w:val="002331CD"/>
    <w:rsid w:val="0023322C"/>
    <w:rsid w:val="002332A1"/>
    <w:rsid w:val="00233398"/>
    <w:rsid w:val="002336E6"/>
    <w:rsid w:val="00234090"/>
    <w:rsid w:val="00234381"/>
    <w:rsid w:val="00234481"/>
    <w:rsid w:val="002344DD"/>
    <w:rsid w:val="002346F2"/>
    <w:rsid w:val="00234842"/>
    <w:rsid w:val="00234DD2"/>
    <w:rsid w:val="00234ED9"/>
    <w:rsid w:val="002356F1"/>
    <w:rsid w:val="00235722"/>
    <w:rsid w:val="00235B61"/>
    <w:rsid w:val="002361D3"/>
    <w:rsid w:val="00236351"/>
    <w:rsid w:val="002363B8"/>
    <w:rsid w:val="00236795"/>
    <w:rsid w:val="00236CAA"/>
    <w:rsid w:val="00236DEC"/>
    <w:rsid w:val="00236ED1"/>
    <w:rsid w:val="00236EF0"/>
    <w:rsid w:val="00236F20"/>
    <w:rsid w:val="002370B1"/>
    <w:rsid w:val="00237307"/>
    <w:rsid w:val="00237346"/>
    <w:rsid w:val="00237577"/>
    <w:rsid w:val="0023764D"/>
    <w:rsid w:val="00237D0D"/>
    <w:rsid w:val="002401FC"/>
    <w:rsid w:val="0024052A"/>
    <w:rsid w:val="002405B2"/>
    <w:rsid w:val="002405BF"/>
    <w:rsid w:val="00240744"/>
    <w:rsid w:val="00240776"/>
    <w:rsid w:val="00240918"/>
    <w:rsid w:val="002409AD"/>
    <w:rsid w:val="002409D2"/>
    <w:rsid w:val="00240B85"/>
    <w:rsid w:val="00240C09"/>
    <w:rsid w:val="00240CB9"/>
    <w:rsid w:val="00240DCF"/>
    <w:rsid w:val="00240E4D"/>
    <w:rsid w:val="00240FF7"/>
    <w:rsid w:val="00241024"/>
    <w:rsid w:val="00241228"/>
    <w:rsid w:val="0024146C"/>
    <w:rsid w:val="00241489"/>
    <w:rsid w:val="002414B5"/>
    <w:rsid w:val="00241686"/>
    <w:rsid w:val="002418A8"/>
    <w:rsid w:val="00241965"/>
    <w:rsid w:val="0024199F"/>
    <w:rsid w:val="00241C04"/>
    <w:rsid w:val="00241C30"/>
    <w:rsid w:val="002420BA"/>
    <w:rsid w:val="0024231B"/>
    <w:rsid w:val="0024245A"/>
    <w:rsid w:val="00242460"/>
    <w:rsid w:val="002425CE"/>
    <w:rsid w:val="00242708"/>
    <w:rsid w:val="002428B6"/>
    <w:rsid w:val="0024299A"/>
    <w:rsid w:val="00242A1E"/>
    <w:rsid w:val="00242E63"/>
    <w:rsid w:val="00243012"/>
    <w:rsid w:val="0024320D"/>
    <w:rsid w:val="002432EF"/>
    <w:rsid w:val="002435B3"/>
    <w:rsid w:val="002436AD"/>
    <w:rsid w:val="0024386A"/>
    <w:rsid w:val="0024390F"/>
    <w:rsid w:val="00243AE6"/>
    <w:rsid w:val="00243B6D"/>
    <w:rsid w:val="00243FA8"/>
    <w:rsid w:val="002441A7"/>
    <w:rsid w:val="0024428B"/>
    <w:rsid w:val="002442BA"/>
    <w:rsid w:val="002442F7"/>
    <w:rsid w:val="00244650"/>
    <w:rsid w:val="0024469C"/>
    <w:rsid w:val="00244E36"/>
    <w:rsid w:val="00244E37"/>
    <w:rsid w:val="002451D2"/>
    <w:rsid w:val="00245525"/>
    <w:rsid w:val="002459A6"/>
    <w:rsid w:val="00245A4C"/>
    <w:rsid w:val="00245EA1"/>
    <w:rsid w:val="002460EB"/>
    <w:rsid w:val="002463F4"/>
    <w:rsid w:val="002465AD"/>
    <w:rsid w:val="00246C21"/>
    <w:rsid w:val="00247039"/>
    <w:rsid w:val="002470E5"/>
    <w:rsid w:val="0024716F"/>
    <w:rsid w:val="0024734F"/>
    <w:rsid w:val="0024746A"/>
    <w:rsid w:val="00247533"/>
    <w:rsid w:val="00247790"/>
    <w:rsid w:val="00247991"/>
    <w:rsid w:val="00247C6B"/>
    <w:rsid w:val="00247ED7"/>
    <w:rsid w:val="002501B3"/>
    <w:rsid w:val="0025045F"/>
    <w:rsid w:val="00250502"/>
    <w:rsid w:val="0025064A"/>
    <w:rsid w:val="0025064E"/>
    <w:rsid w:val="00250914"/>
    <w:rsid w:val="002509D0"/>
    <w:rsid w:val="00250F20"/>
    <w:rsid w:val="0025117C"/>
    <w:rsid w:val="002514A9"/>
    <w:rsid w:val="002514C7"/>
    <w:rsid w:val="002515D3"/>
    <w:rsid w:val="00251ACB"/>
    <w:rsid w:val="00251ED7"/>
    <w:rsid w:val="00251FDC"/>
    <w:rsid w:val="00251FE0"/>
    <w:rsid w:val="0025208C"/>
    <w:rsid w:val="002529E4"/>
    <w:rsid w:val="00252AD2"/>
    <w:rsid w:val="00252C4C"/>
    <w:rsid w:val="00252DB8"/>
    <w:rsid w:val="00253016"/>
    <w:rsid w:val="00253A3D"/>
    <w:rsid w:val="00253C34"/>
    <w:rsid w:val="00253C3C"/>
    <w:rsid w:val="00253CBF"/>
    <w:rsid w:val="00253F40"/>
    <w:rsid w:val="00254474"/>
    <w:rsid w:val="002546F4"/>
    <w:rsid w:val="002547CE"/>
    <w:rsid w:val="00254955"/>
    <w:rsid w:val="002549D2"/>
    <w:rsid w:val="00254D69"/>
    <w:rsid w:val="002551EA"/>
    <w:rsid w:val="0025533D"/>
    <w:rsid w:val="002559E9"/>
    <w:rsid w:val="00255BFA"/>
    <w:rsid w:val="00255D14"/>
    <w:rsid w:val="002560DA"/>
    <w:rsid w:val="002561E8"/>
    <w:rsid w:val="002563E9"/>
    <w:rsid w:val="0025663F"/>
    <w:rsid w:val="00256AF7"/>
    <w:rsid w:val="00256BBF"/>
    <w:rsid w:val="0025770B"/>
    <w:rsid w:val="0025775E"/>
    <w:rsid w:val="00257AA4"/>
    <w:rsid w:val="00257AAE"/>
    <w:rsid w:val="00257AAF"/>
    <w:rsid w:val="00257BBF"/>
    <w:rsid w:val="00257BF9"/>
    <w:rsid w:val="00260153"/>
    <w:rsid w:val="0026022F"/>
    <w:rsid w:val="00260408"/>
    <w:rsid w:val="0026047D"/>
    <w:rsid w:val="002604A9"/>
    <w:rsid w:val="0026066A"/>
    <w:rsid w:val="00260670"/>
    <w:rsid w:val="00260831"/>
    <w:rsid w:val="002608E0"/>
    <w:rsid w:val="00260AD1"/>
    <w:rsid w:val="00260EEB"/>
    <w:rsid w:val="00260F73"/>
    <w:rsid w:val="0026121C"/>
    <w:rsid w:val="002612E4"/>
    <w:rsid w:val="0026132C"/>
    <w:rsid w:val="00261745"/>
    <w:rsid w:val="00261B61"/>
    <w:rsid w:val="00261B82"/>
    <w:rsid w:val="0026246A"/>
    <w:rsid w:val="00262689"/>
    <w:rsid w:val="002626AE"/>
    <w:rsid w:val="00262B0A"/>
    <w:rsid w:val="00262F55"/>
    <w:rsid w:val="00262FC1"/>
    <w:rsid w:val="00263005"/>
    <w:rsid w:val="00263137"/>
    <w:rsid w:val="002631F2"/>
    <w:rsid w:val="0026365B"/>
    <w:rsid w:val="00263724"/>
    <w:rsid w:val="00263727"/>
    <w:rsid w:val="00263836"/>
    <w:rsid w:val="00263B97"/>
    <w:rsid w:val="00263E76"/>
    <w:rsid w:val="00263FB5"/>
    <w:rsid w:val="002643D3"/>
    <w:rsid w:val="002645EB"/>
    <w:rsid w:val="00264708"/>
    <w:rsid w:val="00264C2A"/>
    <w:rsid w:val="00264C7D"/>
    <w:rsid w:val="00264EB4"/>
    <w:rsid w:val="002654C1"/>
    <w:rsid w:val="00265578"/>
    <w:rsid w:val="002661A4"/>
    <w:rsid w:val="002665D7"/>
    <w:rsid w:val="002667FD"/>
    <w:rsid w:val="002674F8"/>
    <w:rsid w:val="002677FD"/>
    <w:rsid w:val="002679BD"/>
    <w:rsid w:val="00267FAB"/>
    <w:rsid w:val="00267FF2"/>
    <w:rsid w:val="002700F9"/>
    <w:rsid w:val="00270304"/>
    <w:rsid w:val="002703D9"/>
    <w:rsid w:val="0027064F"/>
    <w:rsid w:val="00270BAF"/>
    <w:rsid w:val="00271197"/>
    <w:rsid w:val="002712D4"/>
    <w:rsid w:val="00271415"/>
    <w:rsid w:val="0027161A"/>
    <w:rsid w:val="002717C0"/>
    <w:rsid w:val="00271891"/>
    <w:rsid w:val="00271904"/>
    <w:rsid w:val="00271A89"/>
    <w:rsid w:val="00271B3F"/>
    <w:rsid w:val="00271C41"/>
    <w:rsid w:val="002723FC"/>
    <w:rsid w:val="002727D9"/>
    <w:rsid w:val="00272809"/>
    <w:rsid w:val="00272CCF"/>
    <w:rsid w:val="00272ED1"/>
    <w:rsid w:val="00272F06"/>
    <w:rsid w:val="0027305E"/>
    <w:rsid w:val="00273202"/>
    <w:rsid w:val="00273811"/>
    <w:rsid w:val="00273B15"/>
    <w:rsid w:val="00273B59"/>
    <w:rsid w:val="00274019"/>
    <w:rsid w:val="002746E7"/>
    <w:rsid w:val="00274CE5"/>
    <w:rsid w:val="00274D00"/>
    <w:rsid w:val="00274D67"/>
    <w:rsid w:val="00275138"/>
    <w:rsid w:val="0027561F"/>
    <w:rsid w:val="00276190"/>
    <w:rsid w:val="002762BA"/>
    <w:rsid w:val="002765CF"/>
    <w:rsid w:val="00276905"/>
    <w:rsid w:val="00276A46"/>
    <w:rsid w:val="00276ABF"/>
    <w:rsid w:val="00276BD2"/>
    <w:rsid w:val="00276D9B"/>
    <w:rsid w:val="00277529"/>
    <w:rsid w:val="002777E0"/>
    <w:rsid w:val="002778AA"/>
    <w:rsid w:val="00277D38"/>
    <w:rsid w:val="002802C0"/>
    <w:rsid w:val="0028055C"/>
    <w:rsid w:val="00280969"/>
    <w:rsid w:val="00280DA0"/>
    <w:rsid w:val="0028113D"/>
    <w:rsid w:val="00281344"/>
    <w:rsid w:val="0028143B"/>
    <w:rsid w:val="00281618"/>
    <w:rsid w:val="00281927"/>
    <w:rsid w:val="002819E9"/>
    <w:rsid w:val="00281EDF"/>
    <w:rsid w:val="0028234C"/>
    <w:rsid w:val="002824C9"/>
    <w:rsid w:val="002824CD"/>
    <w:rsid w:val="00282719"/>
    <w:rsid w:val="00282BAE"/>
    <w:rsid w:val="00282C54"/>
    <w:rsid w:val="00282D16"/>
    <w:rsid w:val="002833CF"/>
    <w:rsid w:val="0028354E"/>
    <w:rsid w:val="002836DE"/>
    <w:rsid w:val="002837B0"/>
    <w:rsid w:val="0028381A"/>
    <w:rsid w:val="002839BF"/>
    <w:rsid w:val="00283DFD"/>
    <w:rsid w:val="002841E2"/>
    <w:rsid w:val="0028454D"/>
    <w:rsid w:val="00284E30"/>
    <w:rsid w:val="00284EC3"/>
    <w:rsid w:val="002850FA"/>
    <w:rsid w:val="002851EC"/>
    <w:rsid w:val="00285353"/>
    <w:rsid w:val="00285355"/>
    <w:rsid w:val="00285916"/>
    <w:rsid w:val="00285996"/>
    <w:rsid w:val="00285ADB"/>
    <w:rsid w:val="00285BB4"/>
    <w:rsid w:val="00285D0D"/>
    <w:rsid w:val="00285D1E"/>
    <w:rsid w:val="00285E1D"/>
    <w:rsid w:val="00285FF4"/>
    <w:rsid w:val="0028618D"/>
    <w:rsid w:val="0028619B"/>
    <w:rsid w:val="0028623E"/>
    <w:rsid w:val="00286278"/>
    <w:rsid w:val="002866C8"/>
    <w:rsid w:val="00286732"/>
    <w:rsid w:val="0028692F"/>
    <w:rsid w:val="00286948"/>
    <w:rsid w:val="002869D1"/>
    <w:rsid w:val="00286A93"/>
    <w:rsid w:val="00286E22"/>
    <w:rsid w:val="00286F2C"/>
    <w:rsid w:val="002870AC"/>
    <w:rsid w:val="002874D2"/>
    <w:rsid w:val="002876D5"/>
    <w:rsid w:val="00287806"/>
    <w:rsid w:val="00287E40"/>
    <w:rsid w:val="00287F46"/>
    <w:rsid w:val="002903A9"/>
    <w:rsid w:val="00290586"/>
    <w:rsid w:val="00290BDE"/>
    <w:rsid w:val="00290D17"/>
    <w:rsid w:val="00290FE4"/>
    <w:rsid w:val="0029129B"/>
    <w:rsid w:val="00291A78"/>
    <w:rsid w:val="00291AC7"/>
    <w:rsid w:val="00291C92"/>
    <w:rsid w:val="00292182"/>
    <w:rsid w:val="00292832"/>
    <w:rsid w:val="00292C69"/>
    <w:rsid w:val="00292C9E"/>
    <w:rsid w:val="00292E47"/>
    <w:rsid w:val="00292F27"/>
    <w:rsid w:val="002931E3"/>
    <w:rsid w:val="00293EE7"/>
    <w:rsid w:val="00293F28"/>
    <w:rsid w:val="00293F54"/>
    <w:rsid w:val="0029419B"/>
    <w:rsid w:val="002941DF"/>
    <w:rsid w:val="002941E3"/>
    <w:rsid w:val="002944E7"/>
    <w:rsid w:val="002947CD"/>
    <w:rsid w:val="00294816"/>
    <w:rsid w:val="0029491B"/>
    <w:rsid w:val="00294A43"/>
    <w:rsid w:val="00294A53"/>
    <w:rsid w:val="0029512B"/>
    <w:rsid w:val="00295346"/>
    <w:rsid w:val="0029540C"/>
    <w:rsid w:val="00295424"/>
    <w:rsid w:val="0029544B"/>
    <w:rsid w:val="00295726"/>
    <w:rsid w:val="002958F5"/>
    <w:rsid w:val="00295B58"/>
    <w:rsid w:val="00295B62"/>
    <w:rsid w:val="00295B8F"/>
    <w:rsid w:val="00295C09"/>
    <w:rsid w:val="00295E6D"/>
    <w:rsid w:val="00295F92"/>
    <w:rsid w:val="00296291"/>
    <w:rsid w:val="002962E2"/>
    <w:rsid w:val="00296405"/>
    <w:rsid w:val="002964DF"/>
    <w:rsid w:val="0029663D"/>
    <w:rsid w:val="002967D5"/>
    <w:rsid w:val="002969CF"/>
    <w:rsid w:val="00297318"/>
    <w:rsid w:val="0029734A"/>
    <w:rsid w:val="00297403"/>
    <w:rsid w:val="002978BA"/>
    <w:rsid w:val="00297922"/>
    <w:rsid w:val="00297970"/>
    <w:rsid w:val="00297A9A"/>
    <w:rsid w:val="00297B0C"/>
    <w:rsid w:val="00297B55"/>
    <w:rsid w:val="00297C4B"/>
    <w:rsid w:val="00297F1F"/>
    <w:rsid w:val="002A01BD"/>
    <w:rsid w:val="002A04EC"/>
    <w:rsid w:val="002A0A32"/>
    <w:rsid w:val="002A0A67"/>
    <w:rsid w:val="002A0D91"/>
    <w:rsid w:val="002A0F32"/>
    <w:rsid w:val="002A1020"/>
    <w:rsid w:val="002A10F2"/>
    <w:rsid w:val="002A1617"/>
    <w:rsid w:val="002A163E"/>
    <w:rsid w:val="002A1789"/>
    <w:rsid w:val="002A1A45"/>
    <w:rsid w:val="002A1F07"/>
    <w:rsid w:val="002A1FC5"/>
    <w:rsid w:val="002A2239"/>
    <w:rsid w:val="002A24D9"/>
    <w:rsid w:val="002A254D"/>
    <w:rsid w:val="002A2878"/>
    <w:rsid w:val="002A2DA1"/>
    <w:rsid w:val="002A323C"/>
    <w:rsid w:val="002A33B4"/>
    <w:rsid w:val="002A3971"/>
    <w:rsid w:val="002A3AAC"/>
    <w:rsid w:val="002A3B59"/>
    <w:rsid w:val="002A3FC0"/>
    <w:rsid w:val="002A41B3"/>
    <w:rsid w:val="002A4370"/>
    <w:rsid w:val="002A45E1"/>
    <w:rsid w:val="002A4668"/>
    <w:rsid w:val="002A466C"/>
    <w:rsid w:val="002A4678"/>
    <w:rsid w:val="002A4730"/>
    <w:rsid w:val="002A4734"/>
    <w:rsid w:val="002A48F2"/>
    <w:rsid w:val="002A4986"/>
    <w:rsid w:val="002A499C"/>
    <w:rsid w:val="002A4D7A"/>
    <w:rsid w:val="002A4DA3"/>
    <w:rsid w:val="002A4F0A"/>
    <w:rsid w:val="002A4FC0"/>
    <w:rsid w:val="002A55C3"/>
    <w:rsid w:val="002A5B88"/>
    <w:rsid w:val="002A5E62"/>
    <w:rsid w:val="002A5F84"/>
    <w:rsid w:val="002A6188"/>
    <w:rsid w:val="002A62BF"/>
    <w:rsid w:val="002A659F"/>
    <w:rsid w:val="002A67CF"/>
    <w:rsid w:val="002A6A7A"/>
    <w:rsid w:val="002A6F76"/>
    <w:rsid w:val="002A6FE0"/>
    <w:rsid w:val="002A6FED"/>
    <w:rsid w:val="002A7101"/>
    <w:rsid w:val="002A717D"/>
    <w:rsid w:val="002A7A8A"/>
    <w:rsid w:val="002A7E50"/>
    <w:rsid w:val="002A7E56"/>
    <w:rsid w:val="002A7E66"/>
    <w:rsid w:val="002A7F0D"/>
    <w:rsid w:val="002B0024"/>
    <w:rsid w:val="002B0085"/>
    <w:rsid w:val="002B06AE"/>
    <w:rsid w:val="002B07AA"/>
    <w:rsid w:val="002B0CBC"/>
    <w:rsid w:val="002B0D87"/>
    <w:rsid w:val="002B10D0"/>
    <w:rsid w:val="002B115C"/>
    <w:rsid w:val="002B1339"/>
    <w:rsid w:val="002B16BD"/>
    <w:rsid w:val="002B16FC"/>
    <w:rsid w:val="002B199F"/>
    <w:rsid w:val="002B19C8"/>
    <w:rsid w:val="002B1E7D"/>
    <w:rsid w:val="002B1ECA"/>
    <w:rsid w:val="002B1FF5"/>
    <w:rsid w:val="002B217C"/>
    <w:rsid w:val="002B21F2"/>
    <w:rsid w:val="002B226C"/>
    <w:rsid w:val="002B2384"/>
    <w:rsid w:val="002B247F"/>
    <w:rsid w:val="002B248B"/>
    <w:rsid w:val="002B2A51"/>
    <w:rsid w:val="002B2C93"/>
    <w:rsid w:val="002B2CF5"/>
    <w:rsid w:val="002B2D75"/>
    <w:rsid w:val="002B2DB1"/>
    <w:rsid w:val="002B310C"/>
    <w:rsid w:val="002B31D7"/>
    <w:rsid w:val="002B3280"/>
    <w:rsid w:val="002B3316"/>
    <w:rsid w:val="002B3553"/>
    <w:rsid w:val="002B37D9"/>
    <w:rsid w:val="002B3823"/>
    <w:rsid w:val="002B391E"/>
    <w:rsid w:val="002B3CE8"/>
    <w:rsid w:val="002B3D3A"/>
    <w:rsid w:val="002B3DBA"/>
    <w:rsid w:val="002B3EE6"/>
    <w:rsid w:val="002B3FE3"/>
    <w:rsid w:val="002B3FE8"/>
    <w:rsid w:val="002B4930"/>
    <w:rsid w:val="002B4A56"/>
    <w:rsid w:val="002B4C03"/>
    <w:rsid w:val="002B4CA4"/>
    <w:rsid w:val="002B573F"/>
    <w:rsid w:val="002B5AC2"/>
    <w:rsid w:val="002B5DFA"/>
    <w:rsid w:val="002B640A"/>
    <w:rsid w:val="002B6501"/>
    <w:rsid w:val="002B65C5"/>
    <w:rsid w:val="002B65D0"/>
    <w:rsid w:val="002B672F"/>
    <w:rsid w:val="002B68FF"/>
    <w:rsid w:val="002B6976"/>
    <w:rsid w:val="002B6AD9"/>
    <w:rsid w:val="002B6CAE"/>
    <w:rsid w:val="002B6D8D"/>
    <w:rsid w:val="002B6EBD"/>
    <w:rsid w:val="002B716A"/>
    <w:rsid w:val="002B72AD"/>
    <w:rsid w:val="002B72E2"/>
    <w:rsid w:val="002B7405"/>
    <w:rsid w:val="002B742E"/>
    <w:rsid w:val="002B76C5"/>
    <w:rsid w:val="002B7BB0"/>
    <w:rsid w:val="002B7BBC"/>
    <w:rsid w:val="002B7CBF"/>
    <w:rsid w:val="002B7CF0"/>
    <w:rsid w:val="002B7FD9"/>
    <w:rsid w:val="002C028F"/>
    <w:rsid w:val="002C084E"/>
    <w:rsid w:val="002C086B"/>
    <w:rsid w:val="002C0C47"/>
    <w:rsid w:val="002C0DF2"/>
    <w:rsid w:val="002C1248"/>
    <w:rsid w:val="002C135D"/>
    <w:rsid w:val="002C1637"/>
    <w:rsid w:val="002C1802"/>
    <w:rsid w:val="002C1DBE"/>
    <w:rsid w:val="002C2130"/>
    <w:rsid w:val="002C25A3"/>
    <w:rsid w:val="002C27D1"/>
    <w:rsid w:val="002C2C76"/>
    <w:rsid w:val="002C2DFE"/>
    <w:rsid w:val="002C2F9F"/>
    <w:rsid w:val="002C359A"/>
    <w:rsid w:val="002C35E6"/>
    <w:rsid w:val="002C3E35"/>
    <w:rsid w:val="002C3F32"/>
    <w:rsid w:val="002C4026"/>
    <w:rsid w:val="002C40F7"/>
    <w:rsid w:val="002C45E0"/>
    <w:rsid w:val="002C4837"/>
    <w:rsid w:val="002C4E22"/>
    <w:rsid w:val="002C4E29"/>
    <w:rsid w:val="002C542E"/>
    <w:rsid w:val="002C55EB"/>
    <w:rsid w:val="002C5EB9"/>
    <w:rsid w:val="002C632E"/>
    <w:rsid w:val="002C6600"/>
    <w:rsid w:val="002C680B"/>
    <w:rsid w:val="002C6A6D"/>
    <w:rsid w:val="002C6A9F"/>
    <w:rsid w:val="002C6D41"/>
    <w:rsid w:val="002C6F56"/>
    <w:rsid w:val="002C74CE"/>
    <w:rsid w:val="002C7B3E"/>
    <w:rsid w:val="002C7C17"/>
    <w:rsid w:val="002C7E6F"/>
    <w:rsid w:val="002D0BAC"/>
    <w:rsid w:val="002D0CDC"/>
    <w:rsid w:val="002D0D1B"/>
    <w:rsid w:val="002D0E04"/>
    <w:rsid w:val="002D1011"/>
    <w:rsid w:val="002D10A8"/>
    <w:rsid w:val="002D1198"/>
    <w:rsid w:val="002D11F5"/>
    <w:rsid w:val="002D1456"/>
    <w:rsid w:val="002D1483"/>
    <w:rsid w:val="002D18F8"/>
    <w:rsid w:val="002D1900"/>
    <w:rsid w:val="002D2238"/>
    <w:rsid w:val="002D238D"/>
    <w:rsid w:val="002D2537"/>
    <w:rsid w:val="002D26AC"/>
    <w:rsid w:val="002D2773"/>
    <w:rsid w:val="002D27D0"/>
    <w:rsid w:val="002D2CE8"/>
    <w:rsid w:val="002D2D5B"/>
    <w:rsid w:val="002D317F"/>
    <w:rsid w:val="002D35B9"/>
    <w:rsid w:val="002D3A39"/>
    <w:rsid w:val="002D3B62"/>
    <w:rsid w:val="002D3D42"/>
    <w:rsid w:val="002D3D8A"/>
    <w:rsid w:val="002D3E43"/>
    <w:rsid w:val="002D4010"/>
    <w:rsid w:val="002D430B"/>
    <w:rsid w:val="002D4401"/>
    <w:rsid w:val="002D443F"/>
    <w:rsid w:val="002D474B"/>
    <w:rsid w:val="002D4782"/>
    <w:rsid w:val="002D4ED0"/>
    <w:rsid w:val="002D509E"/>
    <w:rsid w:val="002D52F3"/>
    <w:rsid w:val="002D5427"/>
    <w:rsid w:val="002D5986"/>
    <w:rsid w:val="002D5A83"/>
    <w:rsid w:val="002D5E84"/>
    <w:rsid w:val="002D616B"/>
    <w:rsid w:val="002D617F"/>
    <w:rsid w:val="002D6518"/>
    <w:rsid w:val="002D6608"/>
    <w:rsid w:val="002D6656"/>
    <w:rsid w:val="002D67CF"/>
    <w:rsid w:val="002D69E0"/>
    <w:rsid w:val="002D6B2E"/>
    <w:rsid w:val="002D6CB6"/>
    <w:rsid w:val="002D6D61"/>
    <w:rsid w:val="002D7787"/>
    <w:rsid w:val="002D779F"/>
    <w:rsid w:val="002D799D"/>
    <w:rsid w:val="002D79B3"/>
    <w:rsid w:val="002D79F1"/>
    <w:rsid w:val="002D7F2E"/>
    <w:rsid w:val="002E0305"/>
    <w:rsid w:val="002E05EC"/>
    <w:rsid w:val="002E06AA"/>
    <w:rsid w:val="002E0722"/>
    <w:rsid w:val="002E0797"/>
    <w:rsid w:val="002E08EB"/>
    <w:rsid w:val="002E1338"/>
    <w:rsid w:val="002E17E9"/>
    <w:rsid w:val="002E1956"/>
    <w:rsid w:val="002E196D"/>
    <w:rsid w:val="002E1AAF"/>
    <w:rsid w:val="002E1CEF"/>
    <w:rsid w:val="002E1D43"/>
    <w:rsid w:val="002E1E10"/>
    <w:rsid w:val="002E219F"/>
    <w:rsid w:val="002E2252"/>
    <w:rsid w:val="002E2678"/>
    <w:rsid w:val="002E2C6B"/>
    <w:rsid w:val="002E2E5D"/>
    <w:rsid w:val="002E2F21"/>
    <w:rsid w:val="002E335B"/>
    <w:rsid w:val="002E3E6C"/>
    <w:rsid w:val="002E40FD"/>
    <w:rsid w:val="002E494E"/>
    <w:rsid w:val="002E4CD9"/>
    <w:rsid w:val="002E4FF3"/>
    <w:rsid w:val="002E5024"/>
    <w:rsid w:val="002E542B"/>
    <w:rsid w:val="002E5ABD"/>
    <w:rsid w:val="002E6091"/>
    <w:rsid w:val="002E61E0"/>
    <w:rsid w:val="002E627B"/>
    <w:rsid w:val="002E62F0"/>
    <w:rsid w:val="002E6301"/>
    <w:rsid w:val="002E6497"/>
    <w:rsid w:val="002E681A"/>
    <w:rsid w:val="002E6C1F"/>
    <w:rsid w:val="002E6CD9"/>
    <w:rsid w:val="002E7296"/>
    <w:rsid w:val="002E73B6"/>
    <w:rsid w:val="002E7529"/>
    <w:rsid w:val="002E77DC"/>
    <w:rsid w:val="002E77E9"/>
    <w:rsid w:val="002E79E0"/>
    <w:rsid w:val="002E7AEE"/>
    <w:rsid w:val="002E7BC4"/>
    <w:rsid w:val="002E7E3E"/>
    <w:rsid w:val="002F0303"/>
    <w:rsid w:val="002F038E"/>
    <w:rsid w:val="002F0415"/>
    <w:rsid w:val="002F0565"/>
    <w:rsid w:val="002F05F1"/>
    <w:rsid w:val="002F07B0"/>
    <w:rsid w:val="002F07F7"/>
    <w:rsid w:val="002F0B2C"/>
    <w:rsid w:val="002F1587"/>
    <w:rsid w:val="002F167A"/>
    <w:rsid w:val="002F1711"/>
    <w:rsid w:val="002F1A31"/>
    <w:rsid w:val="002F1BBD"/>
    <w:rsid w:val="002F1EE0"/>
    <w:rsid w:val="002F20DF"/>
    <w:rsid w:val="002F2335"/>
    <w:rsid w:val="002F2688"/>
    <w:rsid w:val="002F288E"/>
    <w:rsid w:val="002F2CA5"/>
    <w:rsid w:val="002F2E9F"/>
    <w:rsid w:val="002F32D6"/>
    <w:rsid w:val="002F32F8"/>
    <w:rsid w:val="002F35D8"/>
    <w:rsid w:val="002F375B"/>
    <w:rsid w:val="002F37F3"/>
    <w:rsid w:val="002F40CA"/>
    <w:rsid w:val="002F44D0"/>
    <w:rsid w:val="002F476D"/>
    <w:rsid w:val="002F4AB5"/>
    <w:rsid w:val="002F4B66"/>
    <w:rsid w:val="002F4BAC"/>
    <w:rsid w:val="002F4DDE"/>
    <w:rsid w:val="002F4E4F"/>
    <w:rsid w:val="002F5730"/>
    <w:rsid w:val="002F58B4"/>
    <w:rsid w:val="002F5C6B"/>
    <w:rsid w:val="002F5E54"/>
    <w:rsid w:val="002F61B0"/>
    <w:rsid w:val="002F63B2"/>
    <w:rsid w:val="002F641E"/>
    <w:rsid w:val="002F65F7"/>
    <w:rsid w:val="002F662C"/>
    <w:rsid w:val="002F670E"/>
    <w:rsid w:val="002F6AD1"/>
    <w:rsid w:val="002F6EBA"/>
    <w:rsid w:val="002F72E5"/>
    <w:rsid w:val="002F7680"/>
    <w:rsid w:val="002F770A"/>
    <w:rsid w:val="002F7756"/>
    <w:rsid w:val="002F7908"/>
    <w:rsid w:val="002F7A64"/>
    <w:rsid w:val="003004B5"/>
    <w:rsid w:val="003006E3"/>
    <w:rsid w:val="0030089D"/>
    <w:rsid w:val="00300B47"/>
    <w:rsid w:val="003010D5"/>
    <w:rsid w:val="00301662"/>
    <w:rsid w:val="00301810"/>
    <w:rsid w:val="003019BD"/>
    <w:rsid w:val="00301B0A"/>
    <w:rsid w:val="00301D88"/>
    <w:rsid w:val="00301F1B"/>
    <w:rsid w:val="003023C3"/>
    <w:rsid w:val="00302467"/>
    <w:rsid w:val="00302510"/>
    <w:rsid w:val="003025AC"/>
    <w:rsid w:val="00302CF9"/>
    <w:rsid w:val="00302E9E"/>
    <w:rsid w:val="00302EC3"/>
    <w:rsid w:val="003030F5"/>
    <w:rsid w:val="0030338D"/>
    <w:rsid w:val="003033F1"/>
    <w:rsid w:val="00303561"/>
    <w:rsid w:val="00303589"/>
    <w:rsid w:val="003037C7"/>
    <w:rsid w:val="003037F3"/>
    <w:rsid w:val="00303958"/>
    <w:rsid w:val="00303B28"/>
    <w:rsid w:val="00303B59"/>
    <w:rsid w:val="0030477D"/>
    <w:rsid w:val="00304B6F"/>
    <w:rsid w:val="00304B89"/>
    <w:rsid w:val="00304E59"/>
    <w:rsid w:val="00304F0D"/>
    <w:rsid w:val="00305410"/>
    <w:rsid w:val="003054C3"/>
    <w:rsid w:val="00305839"/>
    <w:rsid w:val="00305B2E"/>
    <w:rsid w:val="00305B7C"/>
    <w:rsid w:val="00305E60"/>
    <w:rsid w:val="00305FA3"/>
    <w:rsid w:val="0030608A"/>
    <w:rsid w:val="00306451"/>
    <w:rsid w:val="00306696"/>
    <w:rsid w:val="00306C41"/>
    <w:rsid w:val="00306E78"/>
    <w:rsid w:val="00306F9F"/>
    <w:rsid w:val="0030715A"/>
    <w:rsid w:val="00307377"/>
    <w:rsid w:val="003073FA"/>
    <w:rsid w:val="0030784E"/>
    <w:rsid w:val="003078E2"/>
    <w:rsid w:val="00307C96"/>
    <w:rsid w:val="00307D1D"/>
    <w:rsid w:val="00307DE1"/>
    <w:rsid w:val="003101F2"/>
    <w:rsid w:val="00310527"/>
    <w:rsid w:val="003107F0"/>
    <w:rsid w:val="00310802"/>
    <w:rsid w:val="003109ED"/>
    <w:rsid w:val="00310A4B"/>
    <w:rsid w:val="00310B18"/>
    <w:rsid w:val="00310C40"/>
    <w:rsid w:val="00310C57"/>
    <w:rsid w:val="00310ED6"/>
    <w:rsid w:val="00310F0C"/>
    <w:rsid w:val="00311115"/>
    <w:rsid w:val="003112A5"/>
    <w:rsid w:val="003114E9"/>
    <w:rsid w:val="00311677"/>
    <w:rsid w:val="003116B5"/>
    <w:rsid w:val="003119BC"/>
    <w:rsid w:val="00311B0B"/>
    <w:rsid w:val="00311B91"/>
    <w:rsid w:val="00311BA1"/>
    <w:rsid w:val="00311C12"/>
    <w:rsid w:val="00311CE6"/>
    <w:rsid w:val="00312554"/>
    <w:rsid w:val="003125C6"/>
    <w:rsid w:val="003125E8"/>
    <w:rsid w:val="0031261F"/>
    <w:rsid w:val="0031271E"/>
    <w:rsid w:val="0031278F"/>
    <w:rsid w:val="003128CD"/>
    <w:rsid w:val="00312D55"/>
    <w:rsid w:val="00312EA0"/>
    <w:rsid w:val="003130F4"/>
    <w:rsid w:val="0031360B"/>
    <w:rsid w:val="00313866"/>
    <w:rsid w:val="003138D1"/>
    <w:rsid w:val="00313AD3"/>
    <w:rsid w:val="00313B57"/>
    <w:rsid w:val="00313CD1"/>
    <w:rsid w:val="00313D39"/>
    <w:rsid w:val="00313E94"/>
    <w:rsid w:val="00314038"/>
    <w:rsid w:val="00314449"/>
    <w:rsid w:val="0031489A"/>
    <w:rsid w:val="00314BEF"/>
    <w:rsid w:val="00314CE2"/>
    <w:rsid w:val="003150C9"/>
    <w:rsid w:val="003153C3"/>
    <w:rsid w:val="003155E6"/>
    <w:rsid w:val="003159FB"/>
    <w:rsid w:val="00315CAA"/>
    <w:rsid w:val="00315E87"/>
    <w:rsid w:val="0031605E"/>
    <w:rsid w:val="00316183"/>
    <w:rsid w:val="003162A5"/>
    <w:rsid w:val="00316434"/>
    <w:rsid w:val="00316FA9"/>
    <w:rsid w:val="0031709C"/>
    <w:rsid w:val="003170D9"/>
    <w:rsid w:val="003171DD"/>
    <w:rsid w:val="0031723A"/>
    <w:rsid w:val="0031747F"/>
    <w:rsid w:val="003176E6"/>
    <w:rsid w:val="00317870"/>
    <w:rsid w:val="003178FF"/>
    <w:rsid w:val="00317908"/>
    <w:rsid w:val="0031792A"/>
    <w:rsid w:val="0031799D"/>
    <w:rsid w:val="00317D32"/>
    <w:rsid w:val="003209EF"/>
    <w:rsid w:val="00320A26"/>
    <w:rsid w:val="0032112B"/>
    <w:rsid w:val="003214FA"/>
    <w:rsid w:val="00321571"/>
    <w:rsid w:val="00321615"/>
    <w:rsid w:val="0032188A"/>
    <w:rsid w:val="00321958"/>
    <w:rsid w:val="00321A03"/>
    <w:rsid w:val="00321C67"/>
    <w:rsid w:val="00321D9B"/>
    <w:rsid w:val="00322335"/>
    <w:rsid w:val="0032296C"/>
    <w:rsid w:val="00322B8C"/>
    <w:rsid w:val="00322D41"/>
    <w:rsid w:val="00323238"/>
    <w:rsid w:val="003232A7"/>
    <w:rsid w:val="003234CE"/>
    <w:rsid w:val="00324211"/>
    <w:rsid w:val="003247DF"/>
    <w:rsid w:val="003247EA"/>
    <w:rsid w:val="00324B1C"/>
    <w:rsid w:val="00324D6B"/>
    <w:rsid w:val="00324EBF"/>
    <w:rsid w:val="00325024"/>
    <w:rsid w:val="0032524E"/>
    <w:rsid w:val="003253F4"/>
    <w:rsid w:val="003254AB"/>
    <w:rsid w:val="00325723"/>
    <w:rsid w:val="00325E59"/>
    <w:rsid w:val="00325F7F"/>
    <w:rsid w:val="003262A9"/>
    <w:rsid w:val="00326669"/>
    <w:rsid w:val="00326DE1"/>
    <w:rsid w:val="003270AF"/>
    <w:rsid w:val="00327174"/>
    <w:rsid w:val="0032752D"/>
    <w:rsid w:val="003275F7"/>
    <w:rsid w:val="003276E0"/>
    <w:rsid w:val="00327F1C"/>
    <w:rsid w:val="003303C5"/>
    <w:rsid w:val="00330997"/>
    <w:rsid w:val="00330B13"/>
    <w:rsid w:val="00330E26"/>
    <w:rsid w:val="00330F94"/>
    <w:rsid w:val="00331115"/>
    <w:rsid w:val="00331148"/>
    <w:rsid w:val="00331578"/>
    <w:rsid w:val="003316BD"/>
    <w:rsid w:val="00331D7E"/>
    <w:rsid w:val="00331FA6"/>
    <w:rsid w:val="0033206A"/>
    <w:rsid w:val="0033238E"/>
    <w:rsid w:val="0033241B"/>
    <w:rsid w:val="00332DE1"/>
    <w:rsid w:val="00332E04"/>
    <w:rsid w:val="00333126"/>
    <w:rsid w:val="00333C07"/>
    <w:rsid w:val="00333F9E"/>
    <w:rsid w:val="003341E8"/>
    <w:rsid w:val="00334522"/>
    <w:rsid w:val="00334862"/>
    <w:rsid w:val="00334C37"/>
    <w:rsid w:val="00334D14"/>
    <w:rsid w:val="00334E3E"/>
    <w:rsid w:val="00334E59"/>
    <w:rsid w:val="00334F6F"/>
    <w:rsid w:val="003350D9"/>
    <w:rsid w:val="003351F8"/>
    <w:rsid w:val="00335579"/>
    <w:rsid w:val="00335741"/>
    <w:rsid w:val="00335838"/>
    <w:rsid w:val="003361B0"/>
    <w:rsid w:val="003362C1"/>
    <w:rsid w:val="00336346"/>
    <w:rsid w:val="00336587"/>
    <w:rsid w:val="003369F0"/>
    <w:rsid w:val="00336BE0"/>
    <w:rsid w:val="00336FF7"/>
    <w:rsid w:val="00337322"/>
    <w:rsid w:val="003373A6"/>
    <w:rsid w:val="00337E64"/>
    <w:rsid w:val="0034010D"/>
    <w:rsid w:val="00340127"/>
    <w:rsid w:val="00340540"/>
    <w:rsid w:val="003406A5"/>
    <w:rsid w:val="00340701"/>
    <w:rsid w:val="0034088D"/>
    <w:rsid w:val="00340974"/>
    <w:rsid w:val="00340CD3"/>
    <w:rsid w:val="00341760"/>
    <w:rsid w:val="00341875"/>
    <w:rsid w:val="00342269"/>
    <w:rsid w:val="00342386"/>
    <w:rsid w:val="0034242D"/>
    <w:rsid w:val="003425CB"/>
    <w:rsid w:val="003427B0"/>
    <w:rsid w:val="003428B8"/>
    <w:rsid w:val="00342D15"/>
    <w:rsid w:val="00342EDD"/>
    <w:rsid w:val="0034324D"/>
    <w:rsid w:val="003434F1"/>
    <w:rsid w:val="0034366D"/>
    <w:rsid w:val="00343841"/>
    <w:rsid w:val="003438B2"/>
    <w:rsid w:val="00343A6B"/>
    <w:rsid w:val="00343ADE"/>
    <w:rsid w:val="00343C64"/>
    <w:rsid w:val="00343EBB"/>
    <w:rsid w:val="00343F5C"/>
    <w:rsid w:val="00344044"/>
    <w:rsid w:val="00344333"/>
    <w:rsid w:val="00344391"/>
    <w:rsid w:val="00344427"/>
    <w:rsid w:val="00344512"/>
    <w:rsid w:val="0034464A"/>
    <w:rsid w:val="00344A22"/>
    <w:rsid w:val="00344DC8"/>
    <w:rsid w:val="00344DC9"/>
    <w:rsid w:val="00345028"/>
    <w:rsid w:val="003454C1"/>
    <w:rsid w:val="00345E89"/>
    <w:rsid w:val="00345F1A"/>
    <w:rsid w:val="00345F61"/>
    <w:rsid w:val="00345F75"/>
    <w:rsid w:val="003463AD"/>
    <w:rsid w:val="00346518"/>
    <w:rsid w:val="003469AA"/>
    <w:rsid w:val="00346B49"/>
    <w:rsid w:val="00346CB7"/>
    <w:rsid w:val="00346CBF"/>
    <w:rsid w:val="00347099"/>
    <w:rsid w:val="003470E8"/>
    <w:rsid w:val="00347472"/>
    <w:rsid w:val="003476B3"/>
    <w:rsid w:val="00347BCA"/>
    <w:rsid w:val="003500DD"/>
    <w:rsid w:val="00350378"/>
    <w:rsid w:val="00350AFF"/>
    <w:rsid w:val="00350B7D"/>
    <w:rsid w:val="00350D49"/>
    <w:rsid w:val="00350E82"/>
    <w:rsid w:val="00350F03"/>
    <w:rsid w:val="00350F41"/>
    <w:rsid w:val="00351035"/>
    <w:rsid w:val="00351302"/>
    <w:rsid w:val="00351593"/>
    <w:rsid w:val="00351914"/>
    <w:rsid w:val="0035195E"/>
    <w:rsid w:val="00351F08"/>
    <w:rsid w:val="003520E8"/>
    <w:rsid w:val="00352454"/>
    <w:rsid w:val="00352E5A"/>
    <w:rsid w:val="00352EDA"/>
    <w:rsid w:val="00353474"/>
    <w:rsid w:val="003539CA"/>
    <w:rsid w:val="00353CEE"/>
    <w:rsid w:val="00354071"/>
    <w:rsid w:val="003541CE"/>
    <w:rsid w:val="0035434B"/>
    <w:rsid w:val="003544B1"/>
    <w:rsid w:val="0035484F"/>
    <w:rsid w:val="00354B65"/>
    <w:rsid w:val="00354B8F"/>
    <w:rsid w:val="00354E64"/>
    <w:rsid w:val="00354F0C"/>
    <w:rsid w:val="00355251"/>
    <w:rsid w:val="0035535F"/>
    <w:rsid w:val="00355383"/>
    <w:rsid w:val="00355486"/>
    <w:rsid w:val="003556F0"/>
    <w:rsid w:val="00355BD0"/>
    <w:rsid w:val="00355D79"/>
    <w:rsid w:val="00355EA5"/>
    <w:rsid w:val="00355FFF"/>
    <w:rsid w:val="00356256"/>
    <w:rsid w:val="003562DE"/>
    <w:rsid w:val="0035651D"/>
    <w:rsid w:val="00356731"/>
    <w:rsid w:val="00356778"/>
    <w:rsid w:val="0035680A"/>
    <w:rsid w:val="00356A65"/>
    <w:rsid w:val="00356C17"/>
    <w:rsid w:val="00356DD8"/>
    <w:rsid w:val="00357189"/>
    <w:rsid w:val="0035731E"/>
    <w:rsid w:val="003574BA"/>
    <w:rsid w:val="0035765C"/>
    <w:rsid w:val="00357815"/>
    <w:rsid w:val="00357849"/>
    <w:rsid w:val="00357CFD"/>
    <w:rsid w:val="00357D80"/>
    <w:rsid w:val="0036014F"/>
    <w:rsid w:val="00360228"/>
    <w:rsid w:val="0036034D"/>
    <w:rsid w:val="003606D1"/>
    <w:rsid w:val="003609A8"/>
    <w:rsid w:val="00361531"/>
    <w:rsid w:val="003615B8"/>
    <w:rsid w:val="00361AEC"/>
    <w:rsid w:val="00361D03"/>
    <w:rsid w:val="00362010"/>
    <w:rsid w:val="00362471"/>
    <w:rsid w:val="003628FD"/>
    <w:rsid w:val="00362E2E"/>
    <w:rsid w:val="00363575"/>
    <w:rsid w:val="003637C4"/>
    <w:rsid w:val="003638C8"/>
    <w:rsid w:val="00363DC5"/>
    <w:rsid w:val="00363F5D"/>
    <w:rsid w:val="0036403E"/>
    <w:rsid w:val="00364159"/>
    <w:rsid w:val="003649EA"/>
    <w:rsid w:val="00364BEC"/>
    <w:rsid w:val="00364D34"/>
    <w:rsid w:val="00365078"/>
    <w:rsid w:val="003650E1"/>
    <w:rsid w:val="003651F7"/>
    <w:rsid w:val="003654EB"/>
    <w:rsid w:val="00365728"/>
    <w:rsid w:val="003658F4"/>
    <w:rsid w:val="00365AD5"/>
    <w:rsid w:val="00365FB3"/>
    <w:rsid w:val="00366553"/>
    <w:rsid w:val="00366734"/>
    <w:rsid w:val="00366795"/>
    <w:rsid w:val="00366897"/>
    <w:rsid w:val="003668F9"/>
    <w:rsid w:val="00366AEA"/>
    <w:rsid w:val="00366B0C"/>
    <w:rsid w:val="00366B6E"/>
    <w:rsid w:val="00366EA8"/>
    <w:rsid w:val="00367A74"/>
    <w:rsid w:val="00367BF1"/>
    <w:rsid w:val="00367C92"/>
    <w:rsid w:val="00367D6A"/>
    <w:rsid w:val="00367F50"/>
    <w:rsid w:val="00370140"/>
    <w:rsid w:val="003703B5"/>
    <w:rsid w:val="0037047E"/>
    <w:rsid w:val="0037060F"/>
    <w:rsid w:val="00370C19"/>
    <w:rsid w:val="00370C62"/>
    <w:rsid w:val="00370E8D"/>
    <w:rsid w:val="00370EA9"/>
    <w:rsid w:val="00371018"/>
    <w:rsid w:val="0037107C"/>
    <w:rsid w:val="003710A8"/>
    <w:rsid w:val="003710A9"/>
    <w:rsid w:val="003711E1"/>
    <w:rsid w:val="0037131A"/>
    <w:rsid w:val="0037166F"/>
    <w:rsid w:val="0037173D"/>
    <w:rsid w:val="00371A74"/>
    <w:rsid w:val="00371E2C"/>
    <w:rsid w:val="00371FB4"/>
    <w:rsid w:val="00372383"/>
    <w:rsid w:val="0037248D"/>
    <w:rsid w:val="003724A2"/>
    <w:rsid w:val="0037261C"/>
    <w:rsid w:val="00372706"/>
    <w:rsid w:val="0037303C"/>
    <w:rsid w:val="00373070"/>
    <w:rsid w:val="003734DC"/>
    <w:rsid w:val="003735C4"/>
    <w:rsid w:val="003737E4"/>
    <w:rsid w:val="0037399A"/>
    <w:rsid w:val="00373A3E"/>
    <w:rsid w:val="00373BB7"/>
    <w:rsid w:val="00373CA3"/>
    <w:rsid w:val="00373D94"/>
    <w:rsid w:val="00373FB9"/>
    <w:rsid w:val="003742D9"/>
    <w:rsid w:val="003743C3"/>
    <w:rsid w:val="003744D9"/>
    <w:rsid w:val="003745BC"/>
    <w:rsid w:val="00374A8F"/>
    <w:rsid w:val="00374C92"/>
    <w:rsid w:val="0037511B"/>
    <w:rsid w:val="00375133"/>
    <w:rsid w:val="00375160"/>
    <w:rsid w:val="0037544A"/>
    <w:rsid w:val="00375740"/>
    <w:rsid w:val="00375A20"/>
    <w:rsid w:val="00375C40"/>
    <w:rsid w:val="00375D1B"/>
    <w:rsid w:val="00375EED"/>
    <w:rsid w:val="00375F4E"/>
    <w:rsid w:val="00376192"/>
    <w:rsid w:val="003766E1"/>
    <w:rsid w:val="003768F2"/>
    <w:rsid w:val="00376FBD"/>
    <w:rsid w:val="0037703E"/>
    <w:rsid w:val="0037705D"/>
    <w:rsid w:val="00377231"/>
    <w:rsid w:val="0037732A"/>
    <w:rsid w:val="0037756B"/>
    <w:rsid w:val="00377677"/>
    <w:rsid w:val="00377816"/>
    <w:rsid w:val="00377891"/>
    <w:rsid w:val="00377A40"/>
    <w:rsid w:val="00377A57"/>
    <w:rsid w:val="00377B57"/>
    <w:rsid w:val="00377CC0"/>
    <w:rsid w:val="00377CEB"/>
    <w:rsid w:val="00377FA3"/>
    <w:rsid w:val="0038003C"/>
    <w:rsid w:val="0038015E"/>
    <w:rsid w:val="0038016E"/>
    <w:rsid w:val="003801D7"/>
    <w:rsid w:val="003803C5"/>
    <w:rsid w:val="003803EA"/>
    <w:rsid w:val="003809E8"/>
    <w:rsid w:val="00380F09"/>
    <w:rsid w:val="003812E1"/>
    <w:rsid w:val="0038146C"/>
    <w:rsid w:val="00381794"/>
    <w:rsid w:val="0038179C"/>
    <w:rsid w:val="003818C1"/>
    <w:rsid w:val="003819A6"/>
    <w:rsid w:val="003819C0"/>
    <w:rsid w:val="00381D59"/>
    <w:rsid w:val="00381FEC"/>
    <w:rsid w:val="0038226C"/>
    <w:rsid w:val="00382298"/>
    <w:rsid w:val="003826B0"/>
    <w:rsid w:val="00382C80"/>
    <w:rsid w:val="00382E2E"/>
    <w:rsid w:val="00383079"/>
    <w:rsid w:val="00383167"/>
    <w:rsid w:val="003838AD"/>
    <w:rsid w:val="003844F6"/>
    <w:rsid w:val="00384569"/>
    <w:rsid w:val="003848E1"/>
    <w:rsid w:val="00384906"/>
    <w:rsid w:val="003849D1"/>
    <w:rsid w:val="00384B72"/>
    <w:rsid w:val="00384DC0"/>
    <w:rsid w:val="00384DD9"/>
    <w:rsid w:val="00385029"/>
    <w:rsid w:val="0038538D"/>
    <w:rsid w:val="00385633"/>
    <w:rsid w:val="00385874"/>
    <w:rsid w:val="00385941"/>
    <w:rsid w:val="00385D12"/>
    <w:rsid w:val="003861F2"/>
    <w:rsid w:val="003861F4"/>
    <w:rsid w:val="00387060"/>
    <w:rsid w:val="00387663"/>
    <w:rsid w:val="00387764"/>
    <w:rsid w:val="003877E8"/>
    <w:rsid w:val="003878F7"/>
    <w:rsid w:val="00387CD4"/>
    <w:rsid w:val="00387DF2"/>
    <w:rsid w:val="00387F84"/>
    <w:rsid w:val="00390019"/>
    <w:rsid w:val="0039021A"/>
    <w:rsid w:val="00390388"/>
    <w:rsid w:val="00390593"/>
    <w:rsid w:val="00390E2A"/>
    <w:rsid w:val="003910A6"/>
    <w:rsid w:val="003910D2"/>
    <w:rsid w:val="00391679"/>
    <w:rsid w:val="003917C3"/>
    <w:rsid w:val="00391CA8"/>
    <w:rsid w:val="00391D38"/>
    <w:rsid w:val="00391DBC"/>
    <w:rsid w:val="0039254E"/>
    <w:rsid w:val="003926FF"/>
    <w:rsid w:val="00392ABD"/>
    <w:rsid w:val="00392B13"/>
    <w:rsid w:val="00392DB8"/>
    <w:rsid w:val="00393063"/>
    <w:rsid w:val="00393775"/>
    <w:rsid w:val="00393D58"/>
    <w:rsid w:val="00393E36"/>
    <w:rsid w:val="00394631"/>
    <w:rsid w:val="00394A6C"/>
    <w:rsid w:val="0039553C"/>
    <w:rsid w:val="00395AC6"/>
    <w:rsid w:val="00395E22"/>
    <w:rsid w:val="00395EE9"/>
    <w:rsid w:val="00395FD4"/>
    <w:rsid w:val="003960B3"/>
    <w:rsid w:val="0039696E"/>
    <w:rsid w:val="00396AAC"/>
    <w:rsid w:val="00396DC7"/>
    <w:rsid w:val="0039701B"/>
    <w:rsid w:val="00397DB9"/>
    <w:rsid w:val="00397E02"/>
    <w:rsid w:val="00397E54"/>
    <w:rsid w:val="00397E79"/>
    <w:rsid w:val="00397EF2"/>
    <w:rsid w:val="00397FB3"/>
    <w:rsid w:val="00397FB7"/>
    <w:rsid w:val="003A02DE"/>
    <w:rsid w:val="003A0785"/>
    <w:rsid w:val="003A08DB"/>
    <w:rsid w:val="003A0A63"/>
    <w:rsid w:val="003A0C34"/>
    <w:rsid w:val="003A12E7"/>
    <w:rsid w:val="003A143D"/>
    <w:rsid w:val="003A151D"/>
    <w:rsid w:val="003A1803"/>
    <w:rsid w:val="003A1B9C"/>
    <w:rsid w:val="003A1BB8"/>
    <w:rsid w:val="003A1D52"/>
    <w:rsid w:val="003A1D85"/>
    <w:rsid w:val="003A1DD5"/>
    <w:rsid w:val="003A1E76"/>
    <w:rsid w:val="003A249D"/>
    <w:rsid w:val="003A25C9"/>
    <w:rsid w:val="003A275A"/>
    <w:rsid w:val="003A2864"/>
    <w:rsid w:val="003A2C23"/>
    <w:rsid w:val="003A2E38"/>
    <w:rsid w:val="003A2E3D"/>
    <w:rsid w:val="003A302D"/>
    <w:rsid w:val="003A308F"/>
    <w:rsid w:val="003A31F2"/>
    <w:rsid w:val="003A3463"/>
    <w:rsid w:val="003A39E5"/>
    <w:rsid w:val="003A3BFC"/>
    <w:rsid w:val="003A3DBF"/>
    <w:rsid w:val="003A4086"/>
    <w:rsid w:val="003A4242"/>
    <w:rsid w:val="003A4370"/>
    <w:rsid w:val="003A4373"/>
    <w:rsid w:val="003A44B9"/>
    <w:rsid w:val="003A44C9"/>
    <w:rsid w:val="003A4679"/>
    <w:rsid w:val="003A4680"/>
    <w:rsid w:val="003A468B"/>
    <w:rsid w:val="003A4CE3"/>
    <w:rsid w:val="003A5166"/>
    <w:rsid w:val="003A5598"/>
    <w:rsid w:val="003A59F5"/>
    <w:rsid w:val="003A5AD5"/>
    <w:rsid w:val="003A5B44"/>
    <w:rsid w:val="003A5BEC"/>
    <w:rsid w:val="003A5DC0"/>
    <w:rsid w:val="003A5FAF"/>
    <w:rsid w:val="003A6115"/>
    <w:rsid w:val="003A6149"/>
    <w:rsid w:val="003A6222"/>
    <w:rsid w:val="003A65D9"/>
    <w:rsid w:val="003A65E6"/>
    <w:rsid w:val="003A660C"/>
    <w:rsid w:val="003A673E"/>
    <w:rsid w:val="003A6927"/>
    <w:rsid w:val="003A692C"/>
    <w:rsid w:val="003A6974"/>
    <w:rsid w:val="003A69A8"/>
    <w:rsid w:val="003A69D4"/>
    <w:rsid w:val="003A6BEF"/>
    <w:rsid w:val="003A75D0"/>
    <w:rsid w:val="003A76C9"/>
    <w:rsid w:val="003A7B4D"/>
    <w:rsid w:val="003A7B75"/>
    <w:rsid w:val="003A7C94"/>
    <w:rsid w:val="003B01BF"/>
    <w:rsid w:val="003B02B4"/>
    <w:rsid w:val="003B03A8"/>
    <w:rsid w:val="003B05B7"/>
    <w:rsid w:val="003B05CF"/>
    <w:rsid w:val="003B09D5"/>
    <w:rsid w:val="003B0A0D"/>
    <w:rsid w:val="003B0B1B"/>
    <w:rsid w:val="003B0D04"/>
    <w:rsid w:val="003B0F21"/>
    <w:rsid w:val="003B10C1"/>
    <w:rsid w:val="003B131E"/>
    <w:rsid w:val="003B13EE"/>
    <w:rsid w:val="003B1738"/>
    <w:rsid w:val="003B17DC"/>
    <w:rsid w:val="003B1D75"/>
    <w:rsid w:val="003B21F8"/>
    <w:rsid w:val="003B22F8"/>
    <w:rsid w:val="003B2368"/>
    <w:rsid w:val="003B254E"/>
    <w:rsid w:val="003B25FB"/>
    <w:rsid w:val="003B2CA0"/>
    <w:rsid w:val="003B2DC2"/>
    <w:rsid w:val="003B2FA3"/>
    <w:rsid w:val="003B3207"/>
    <w:rsid w:val="003B325F"/>
    <w:rsid w:val="003B33CA"/>
    <w:rsid w:val="003B34B1"/>
    <w:rsid w:val="003B35C5"/>
    <w:rsid w:val="003B3665"/>
    <w:rsid w:val="003B36A5"/>
    <w:rsid w:val="003B3BAC"/>
    <w:rsid w:val="003B3F50"/>
    <w:rsid w:val="003B433C"/>
    <w:rsid w:val="003B4394"/>
    <w:rsid w:val="003B4492"/>
    <w:rsid w:val="003B4787"/>
    <w:rsid w:val="003B4C92"/>
    <w:rsid w:val="003B4E33"/>
    <w:rsid w:val="003B4FC2"/>
    <w:rsid w:val="003B54A8"/>
    <w:rsid w:val="003B5671"/>
    <w:rsid w:val="003B5D47"/>
    <w:rsid w:val="003B5E75"/>
    <w:rsid w:val="003B6188"/>
    <w:rsid w:val="003B6204"/>
    <w:rsid w:val="003B6233"/>
    <w:rsid w:val="003B627A"/>
    <w:rsid w:val="003B6635"/>
    <w:rsid w:val="003B6737"/>
    <w:rsid w:val="003B67EF"/>
    <w:rsid w:val="003B6903"/>
    <w:rsid w:val="003B6991"/>
    <w:rsid w:val="003B6CAE"/>
    <w:rsid w:val="003B6E3F"/>
    <w:rsid w:val="003B70AD"/>
    <w:rsid w:val="003B72BF"/>
    <w:rsid w:val="003B761D"/>
    <w:rsid w:val="003B761E"/>
    <w:rsid w:val="003B7678"/>
    <w:rsid w:val="003B7B47"/>
    <w:rsid w:val="003B7E75"/>
    <w:rsid w:val="003B7F74"/>
    <w:rsid w:val="003C008A"/>
    <w:rsid w:val="003C0270"/>
    <w:rsid w:val="003C0540"/>
    <w:rsid w:val="003C05A7"/>
    <w:rsid w:val="003C05E9"/>
    <w:rsid w:val="003C076A"/>
    <w:rsid w:val="003C0A47"/>
    <w:rsid w:val="003C0D67"/>
    <w:rsid w:val="003C10DD"/>
    <w:rsid w:val="003C1232"/>
    <w:rsid w:val="003C124C"/>
    <w:rsid w:val="003C1456"/>
    <w:rsid w:val="003C1810"/>
    <w:rsid w:val="003C18E7"/>
    <w:rsid w:val="003C1D2C"/>
    <w:rsid w:val="003C1EA5"/>
    <w:rsid w:val="003C2295"/>
    <w:rsid w:val="003C263A"/>
    <w:rsid w:val="003C2659"/>
    <w:rsid w:val="003C276B"/>
    <w:rsid w:val="003C283E"/>
    <w:rsid w:val="003C28B2"/>
    <w:rsid w:val="003C3582"/>
    <w:rsid w:val="003C3934"/>
    <w:rsid w:val="003C3A37"/>
    <w:rsid w:val="003C3CA0"/>
    <w:rsid w:val="003C3F20"/>
    <w:rsid w:val="003C402A"/>
    <w:rsid w:val="003C4235"/>
    <w:rsid w:val="003C43EB"/>
    <w:rsid w:val="003C44BD"/>
    <w:rsid w:val="003C44D7"/>
    <w:rsid w:val="003C4642"/>
    <w:rsid w:val="003C48D2"/>
    <w:rsid w:val="003C4D00"/>
    <w:rsid w:val="003C4DA5"/>
    <w:rsid w:val="003C507B"/>
    <w:rsid w:val="003C51EC"/>
    <w:rsid w:val="003C5230"/>
    <w:rsid w:val="003C531E"/>
    <w:rsid w:val="003C54F9"/>
    <w:rsid w:val="003C57E0"/>
    <w:rsid w:val="003C589B"/>
    <w:rsid w:val="003C5988"/>
    <w:rsid w:val="003C5B07"/>
    <w:rsid w:val="003C5B22"/>
    <w:rsid w:val="003C5DC9"/>
    <w:rsid w:val="003C5E1A"/>
    <w:rsid w:val="003C5EAB"/>
    <w:rsid w:val="003C5F06"/>
    <w:rsid w:val="003C6980"/>
    <w:rsid w:val="003C6C13"/>
    <w:rsid w:val="003C6C48"/>
    <w:rsid w:val="003C6C5F"/>
    <w:rsid w:val="003C785C"/>
    <w:rsid w:val="003C79A4"/>
    <w:rsid w:val="003C7C1C"/>
    <w:rsid w:val="003C7C72"/>
    <w:rsid w:val="003D0582"/>
    <w:rsid w:val="003D070B"/>
    <w:rsid w:val="003D08D8"/>
    <w:rsid w:val="003D0933"/>
    <w:rsid w:val="003D0D66"/>
    <w:rsid w:val="003D0DBF"/>
    <w:rsid w:val="003D0EF5"/>
    <w:rsid w:val="003D1006"/>
    <w:rsid w:val="003D1050"/>
    <w:rsid w:val="003D1075"/>
    <w:rsid w:val="003D1297"/>
    <w:rsid w:val="003D136D"/>
    <w:rsid w:val="003D18DA"/>
    <w:rsid w:val="003D1980"/>
    <w:rsid w:val="003D19E4"/>
    <w:rsid w:val="003D1AAC"/>
    <w:rsid w:val="003D1E25"/>
    <w:rsid w:val="003D1FA7"/>
    <w:rsid w:val="003D21C0"/>
    <w:rsid w:val="003D2539"/>
    <w:rsid w:val="003D287F"/>
    <w:rsid w:val="003D2987"/>
    <w:rsid w:val="003D2B59"/>
    <w:rsid w:val="003D2CAF"/>
    <w:rsid w:val="003D2CE0"/>
    <w:rsid w:val="003D2E1B"/>
    <w:rsid w:val="003D30D7"/>
    <w:rsid w:val="003D3325"/>
    <w:rsid w:val="003D3A76"/>
    <w:rsid w:val="003D3C73"/>
    <w:rsid w:val="003D41A6"/>
    <w:rsid w:val="003D479B"/>
    <w:rsid w:val="003D4DE6"/>
    <w:rsid w:val="003D5354"/>
    <w:rsid w:val="003D5663"/>
    <w:rsid w:val="003D5ADA"/>
    <w:rsid w:val="003D5C1E"/>
    <w:rsid w:val="003D5DE8"/>
    <w:rsid w:val="003D5E07"/>
    <w:rsid w:val="003D5F22"/>
    <w:rsid w:val="003D60CC"/>
    <w:rsid w:val="003D6236"/>
    <w:rsid w:val="003D6260"/>
    <w:rsid w:val="003D62FB"/>
    <w:rsid w:val="003D65E0"/>
    <w:rsid w:val="003D66AB"/>
    <w:rsid w:val="003D66FF"/>
    <w:rsid w:val="003D6A2E"/>
    <w:rsid w:val="003D715E"/>
    <w:rsid w:val="003D752D"/>
    <w:rsid w:val="003D75D6"/>
    <w:rsid w:val="003D7B65"/>
    <w:rsid w:val="003D7F26"/>
    <w:rsid w:val="003E007C"/>
    <w:rsid w:val="003E00AB"/>
    <w:rsid w:val="003E0133"/>
    <w:rsid w:val="003E0182"/>
    <w:rsid w:val="003E057B"/>
    <w:rsid w:val="003E0A3C"/>
    <w:rsid w:val="003E0AA8"/>
    <w:rsid w:val="003E113F"/>
    <w:rsid w:val="003E1566"/>
    <w:rsid w:val="003E16B2"/>
    <w:rsid w:val="003E1ABD"/>
    <w:rsid w:val="003E1C30"/>
    <w:rsid w:val="003E1C58"/>
    <w:rsid w:val="003E20B3"/>
    <w:rsid w:val="003E20F4"/>
    <w:rsid w:val="003E2197"/>
    <w:rsid w:val="003E2660"/>
    <w:rsid w:val="003E2691"/>
    <w:rsid w:val="003E2A3C"/>
    <w:rsid w:val="003E2BCD"/>
    <w:rsid w:val="003E3332"/>
    <w:rsid w:val="003E34F8"/>
    <w:rsid w:val="003E3519"/>
    <w:rsid w:val="003E395B"/>
    <w:rsid w:val="003E39CD"/>
    <w:rsid w:val="003E3A48"/>
    <w:rsid w:val="003E3A85"/>
    <w:rsid w:val="003E3FDB"/>
    <w:rsid w:val="003E406B"/>
    <w:rsid w:val="003E4B2E"/>
    <w:rsid w:val="003E4B61"/>
    <w:rsid w:val="003E4B6B"/>
    <w:rsid w:val="003E4B8C"/>
    <w:rsid w:val="003E4BFE"/>
    <w:rsid w:val="003E4D3D"/>
    <w:rsid w:val="003E4DB3"/>
    <w:rsid w:val="003E550C"/>
    <w:rsid w:val="003E5788"/>
    <w:rsid w:val="003E57A8"/>
    <w:rsid w:val="003E57ED"/>
    <w:rsid w:val="003E5A83"/>
    <w:rsid w:val="003E5CC8"/>
    <w:rsid w:val="003E61FD"/>
    <w:rsid w:val="003E6535"/>
    <w:rsid w:val="003E6875"/>
    <w:rsid w:val="003E6F21"/>
    <w:rsid w:val="003E70FD"/>
    <w:rsid w:val="003E7245"/>
    <w:rsid w:val="003E76B2"/>
    <w:rsid w:val="003E78FC"/>
    <w:rsid w:val="003E7B80"/>
    <w:rsid w:val="003E7C4D"/>
    <w:rsid w:val="003E7D76"/>
    <w:rsid w:val="003E7D92"/>
    <w:rsid w:val="003F0420"/>
    <w:rsid w:val="003F05A8"/>
    <w:rsid w:val="003F0657"/>
    <w:rsid w:val="003F07ED"/>
    <w:rsid w:val="003F084D"/>
    <w:rsid w:val="003F0B64"/>
    <w:rsid w:val="003F0B85"/>
    <w:rsid w:val="003F105E"/>
    <w:rsid w:val="003F1250"/>
    <w:rsid w:val="003F14FE"/>
    <w:rsid w:val="003F18E9"/>
    <w:rsid w:val="003F1A3B"/>
    <w:rsid w:val="003F1AC4"/>
    <w:rsid w:val="003F1BDE"/>
    <w:rsid w:val="003F1C1D"/>
    <w:rsid w:val="003F1D08"/>
    <w:rsid w:val="003F1EF5"/>
    <w:rsid w:val="003F1FAE"/>
    <w:rsid w:val="003F2033"/>
    <w:rsid w:val="003F224F"/>
    <w:rsid w:val="003F23A7"/>
    <w:rsid w:val="003F25ED"/>
    <w:rsid w:val="003F26AC"/>
    <w:rsid w:val="003F29CF"/>
    <w:rsid w:val="003F2A26"/>
    <w:rsid w:val="003F2AE0"/>
    <w:rsid w:val="003F2D78"/>
    <w:rsid w:val="003F2DA0"/>
    <w:rsid w:val="003F2DE2"/>
    <w:rsid w:val="003F2F4A"/>
    <w:rsid w:val="003F3043"/>
    <w:rsid w:val="003F3271"/>
    <w:rsid w:val="003F338B"/>
    <w:rsid w:val="003F35B9"/>
    <w:rsid w:val="003F3DA7"/>
    <w:rsid w:val="003F3EB2"/>
    <w:rsid w:val="003F40AC"/>
    <w:rsid w:val="003F429D"/>
    <w:rsid w:val="003F447B"/>
    <w:rsid w:val="003F454D"/>
    <w:rsid w:val="003F487A"/>
    <w:rsid w:val="003F4A30"/>
    <w:rsid w:val="003F4C41"/>
    <w:rsid w:val="003F4DDC"/>
    <w:rsid w:val="003F4EEC"/>
    <w:rsid w:val="003F4F08"/>
    <w:rsid w:val="003F50D6"/>
    <w:rsid w:val="003F52BE"/>
    <w:rsid w:val="003F535A"/>
    <w:rsid w:val="003F536E"/>
    <w:rsid w:val="003F568A"/>
    <w:rsid w:val="003F59B2"/>
    <w:rsid w:val="003F5A32"/>
    <w:rsid w:val="003F5B74"/>
    <w:rsid w:val="003F5DE7"/>
    <w:rsid w:val="003F5E12"/>
    <w:rsid w:val="003F6119"/>
    <w:rsid w:val="003F62BC"/>
    <w:rsid w:val="003F62FB"/>
    <w:rsid w:val="003F6374"/>
    <w:rsid w:val="003F6568"/>
    <w:rsid w:val="003F6934"/>
    <w:rsid w:val="003F6940"/>
    <w:rsid w:val="003F6C2A"/>
    <w:rsid w:val="003F7077"/>
    <w:rsid w:val="003F727F"/>
    <w:rsid w:val="003F7558"/>
    <w:rsid w:val="003F7581"/>
    <w:rsid w:val="003F77F3"/>
    <w:rsid w:val="003F7B10"/>
    <w:rsid w:val="003F7C00"/>
    <w:rsid w:val="003F7E9D"/>
    <w:rsid w:val="003F7FCD"/>
    <w:rsid w:val="00400406"/>
    <w:rsid w:val="004007EB"/>
    <w:rsid w:val="004008D9"/>
    <w:rsid w:val="00400AFC"/>
    <w:rsid w:val="00400B3B"/>
    <w:rsid w:val="00400B81"/>
    <w:rsid w:val="00400F0C"/>
    <w:rsid w:val="0040135D"/>
    <w:rsid w:val="004014A0"/>
    <w:rsid w:val="00401C8B"/>
    <w:rsid w:val="00401E71"/>
    <w:rsid w:val="0040202F"/>
    <w:rsid w:val="004021CE"/>
    <w:rsid w:val="00402226"/>
    <w:rsid w:val="00402433"/>
    <w:rsid w:val="0040261A"/>
    <w:rsid w:val="0040266E"/>
    <w:rsid w:val="0040281D"/>
    <w:rsid w:val="00402A9B"/>
    <w:rsid w:val="00402FA6"/>
    <w:rsid w:val="00403049"/>
    <w:rsid w:val="00403179"/>
    <w:rsid w:val="004032F7"/>
    <w:rsid w:val="00403837"/>
    <w:rsid w:val="00403908"/>
    <w:rsid w:val="00403CA8"/>
    <w:rsid w:val="00403E40"/>
    <w:rsid w:val="00403E77"/>
    <w:rsid w:val="004042BC"/>
    <w:rsid w:val="004047C4"/>
    <w:rsid w:val="004049D8"/>
    <w:rsid w:val="00404BA9"/>
    <w:rsid w:val="00404CAA"/>
    <w:rsid w:val="0040527A"/>
    <w:rsid w:val="004056CA"/>
    <w:rsid w:val="004059D7"/>
    <w:rsid w:val="00405AEB"/>
    <w:rsid w:val="00405D44"/>
    <w:rsid w:val="00405D95"/>
    <w:rsid w:val="00405E12"/>
    <w:rsid w:val="00405E5A"/>
    <w:rsid w:val="00405F6B"/>
    <w:rsid w:val="00406446"/>
    <w:rsid w:val="00406461"/>
    <w:rsid w:val="00406476"/>
    <w:rsid w:val="0040680A"/>
    <w:rsid w:val="00406B85"/>
    <w:rsid w:val="00406BE2"/>
    <w:rsid w:val="00407155"/>
    <w:rsid w:val="00407175"/>
    <w:rsid w:val="00407272"/>
    <w:rsid w:val="0040731C"/>
    <w:rsid w:val="004076FC"/>
    <w:rsid w:val="00407987"/>
    <w:rsid w:val="00407D96"/>
    <w:rsid w:val="00407E88"/>
    <w:rsid w:val="00407FD4"/>
    <w:rsid w:val="00410069"/>
    <w:rsid w:val="00410119"/>
    <w:rsid w:val="00410508"/>
    <w:rsid w:val="0041053F"/>
    <w:rsid w:val="00410648"/>
    <w:rsid w:val="00410794"/>
    <w:rsid w:val="004114FD"/>
    <w:rsid w:val="0041156C"/>
    <w:rsid w:val="004119BE"/>
    <w:rsid w:val="00411AFA"/>
    <w:rsid w:val="00411EB0"/>
    <w:rsid w:val="00411EEE"/>
    <w:rsid w:val="00412157"/>
    <w:rsid w:val="00412217"/>
    <w:rsid w:val="00412545"/>
    <w:rsid w:val="00412741"/>
    <w:rsid w:val="00412D1C"/>
    <w:rsid w:val="00412E6B"/>
    <w:rsid w:val="00412E9B"/>
    <w:rsid w:val="00412F47"/>
    <w:rsid w:val="004132ED"/>
    <w:rsid w:val="0041380B"/>
    <w:rsid w:val="00413AC6"/>
    <w:rsid w:val="00413B3B"/>
    <w:rsid w:val="00413DD8"/>
    <w:rsid w:val="00413F48"/>
    <w:rsid w:val="00414172"/>
    <w:rsid w:val="00414388"/>
    <w:rsid w:val="00414699"/>
    <w:rsid w:val="004149D7"/>
    <w:rsid w:val="00414A3E"/>
    <w:rsid w:val="00414F8C"/>
    <w:rsid w:val="00414FA0"/>
    <w:rsid w:val="004150CD"/>
    <w:rsid w:val="0041564C"/>
    <w:rsid w:val="004156C9"/>
    <w:rsid w:val="004156DA"/>
    <w:rsid w:val="004158D4"/>
    <w:rsid w:val="00415D75"/>
    <w:rsid w:val="00415E86"/>
    <w:rsid w:val="0041601F"/>
    <w:rsid w:val="004161BC"/>
    <w:rsid w:val="004161E4"/>
    <w:rsid w:val="0041627C"/>
    <w:rsid w:val="004164EB"/>
    <w:rsid w:val="004169C6"/>
    <w:rsid w:val="00416BB2"/>
    <w:rsid w:val="004171F1"/>
    <w:rsid w:val="00417216"/>
    <w:rsid w:val="004172A0"/>
    <w:rsid w:val="00417402"/>
    <w:rsid w:val="00417877"/>
    <w:rsid w:val="00417C27"/>
    <w:rsid w:val="00417D8E"/>
    <w:rsid w:val="00417E0C"/>
    <w:rsid w:val="00417F7E"/>
    <w:rsid w:val="00420228"/>
    <w:rsid w:val="00420235"/>
    <w:rsid w:val="004202B6"/>
    <w:rsid w:val="004202C4"/>
    <w:rsid w:val="0042038B"/>
    <w:rsid w:val="004203FC"/>
    <w:rsid w:val="00420A3B"/>
    <w:rsid w:val="00420FBF"/>
    <w:rsid w:val="0042129E"/>
    <w:rsid w:val="0042158B"/>
    <w:rsid w:val="00421875"/>
    <w:rsid w:val="00421A5A"/>
    <w:rsid w:val="00421CEC"/>
    <w:rsid w:val="00422318"/>
    <w:rsid w:val="004224B2"/>
    <w:rsid w:val="004224CB"/>
    <w:rsid w:val="00422628"/>
    <w:rsid w:val="004228D5"/>
    <w:rsid w:val="004229DD"/>
    <w:rsid w:val="00422A60"/>
    <w:rsid w:val="00422B18"/>
    <w:rsid w:val="00422C37"/>
    <w:rsid w:val="00422FF9"/>
    <w:rsid w:val="00423297"/>
    <w:rsid w:val="004232A7"/>
    <w:rsid w:val="0042370D"/>
    <w:rsid w:val="00423865"/>
    <w:rsid w:val="004239DB"/>
    <w:rsid w:val="00423A3D"/>
    <w:rsid w:val="00423F99"/>
    <w:rsid w:val="0042401E"/>
    <w:rsid w:val="004244D5"/>
    <w:rsid w:val="0042499B"/>
    <w:rsid w:val="00424BE0"/>
    <w:rsid w:val="00424FC1"/>
    <w:rsid w:val="00425269"/>
    <w:rsid w:val="004256C0"/>
    <w:rsid w:val="004258AA"/>
    <w:rsid w:val="00425E43"/>
    <w:rsid w:val="00425FA8"/>
    <w:rsid w:val="00426003"/>
    <w:rsid w:val="00426114"/>
    <w:rsid w:val="004263D3"/>
    <w:rsid w:val="00426537"/>
    <w:rsid w:val="00426B8E"/>
    <w:rsid w:val="00426CE7"/>
    <w:rsid w:val="00426D32"/>
    <w:rsid w:val="00426D57"/>
    <w:rsid w:val="00426D68"/>
    <w:rsid w:val="00426DFE"/>
    <w:rsid w:val="00426F00"/>
    <w:rsid w:val="00427502"/>
    <w:rsid w:val="0042793A"/>
    <w:rsid w:val="0043006E"/>
    <w:rsid w:val="0043042F"/>
    <w:rsid w:val="0043097B"/>
    <w:rsid w:val="00430A1D"/>
    <w:rsid w:val="00430E14"/>
    <w:rsid w:val="00430F4D"/>
    <w:rsid w:val="004313B0"/>
    <w:rsid w:val="004314D4"/>
    <w:rsid w:val="00431A72"/>
    <w:rsid w:val="00431C6A"/>
    <w:rsid w:val="00431DC0"/>
    <w:rsid w:val="004320BE"/>
    <w:rsid w:val="0043211A"/>
    <w:rsid w:val="004324C0"/>
    <w:rsid w:val="004324D8"/>
    <w:rsid w:val="004325FA"/>
    <w:rsid w:val="0043270E"/>
    <w:rsid w:val="00432ACE"/>
    <w:rsid w:val="00432E2D"/>
    <w:rsid w:val="004331BD"/>
    <w:rsid w:val="0043321B"/>
    <w:rsid w:val="0043350D"/>
    <w:rsid w:val="00433D3D"/>
    <w:rsid w:val="00433E0D"/>
    <w:rsid w:val="0043415D"/>
    <w:rsid w:val="00434296"/>
    <w:rsid w:val="00434526"/>
    <w:rsid w:val="004346AE"/>
    <w:rsid w:val="004348A4"/>
    <w:rsid w:val="00434971"/>
    <w:rsid w:val="004351A3"/>
    <w:rsid w:val="004353E0"/>
    <w:rsid w:val="0043556D"/>
    <w:rsid w:val="00435866"/>
    <w:rsid w:val="00435AE5"/>
    <w:rsid w:val="00435C5D"/>
    <w:rsid w:val="00436735"/>
    <w:rsid w:val="0043686C"/>
    <w:rsid w:val="00436C35"/>
    <w:rsid w:val="00436F9B"/>
    <w:rsid w:val="00437106"/>
    <w:rsid w:val="004371B2"/>
    <w:rsid w:val="00437683"/>
    <w:rsid w:val="004376CE"/>
    <w:rsid w:val="00437993"/>
    <w:rsid w:val="00437DB3"/>
    <w:rsid w:val="00440051"/>
    <w:rsid w:val="0044009E"/>
    <w:rsid w:val="004409C5"/>
    <w:rsid w:val="00440FEF"/>
    <w:rsid w:val="0044191D"/>
    <w:rsid w:val="00441985"/>
    <w:rsid w:val="004419F7"/>
    <w:rsid w:val="00441C23"/>
    <w:rsid w:val="0044200C"/>
    <w:rsid w:val="004420C6"/>
    <w:rsid w:val="004421D1"/>
    <w:rsid w:val="004421EB"/>
    <w:rsid w:val="0044222C"/>
    <w:rsid w:val="00442247"/>
    <w:rsid w:val="00442280"/>
    <w:rsid w:val="0044230D"/>
    <w:rsid w:val="00442596"/>
    <w:rsid w:val="00442660"/>
    <w:rsid w:val="00442761"/>
    <w:rsid w:val="004427A6"/>
    <w:rsid w:val="00442AE4"/>
    <w:rsid w:val="00442AEA"/>
    <w:rsid w:val="00442EB6"/>
    <w:rsid w:val="004430E3"/>
    <w:rsid w:val="00443417"/>
    <w:rsid w:val="0044359A"/>
    <w:rsid w:val="0044389F"/>
    <w:rsid w:val="00443DB6"/>
    <w:rsid w:val="00443DC8"/>
    <w:rsid w:val="0044410B"/>
    <w:rsid w:val="0044468C"/>
    <w:rsid w:val="00444709"/>
    <w:rsid w:val="0044473F"/>
    <w:rsid w:val="0044481F"/>
    <w:rsid w:val="00444BE4"/>
    <w:rsid w:val="00444C1D"/>
    <w:rsid w:val="00444C5D"/>
    <w:rsid w:val="0044500C"/>
    <w:rsid w:val="004450E6"/>
    <w:rsid w:val="00445232"/>
    <w:rsid w:val="00445384"/>
    <w:rsid w:val="00445601"/>
    <w:rsid w:val="004457D4"/>
    <w:rsid w:val="0044581F"/>
    <w:rsid w:val="00445826"/>
    <w:rsid w:val="00445A2A"/>
    <w:rsid w:val="00445EE6"/>
    <w:rsid w:val="004460E9"/>
    <w:rsid w:val="00446232"/>
    <w:rsid w:val="00446474"/>
    <w:rsid w:val="00446490"/>
    <w:rsid w:val="004465BB"/>
    <w:rsid w:val="0044663D"/>
    <w:rsid w:val="00446A2D"/>
    <w:rsid w:val="00446B62"/>
    <w:rsid w:val="00446D7B"/>
    <w:rsid w:val="00446F5D"/>
    <w:rsid w:val="00447055"/>
    <w:rsid w:val="0044726D"/>
    <w:rsid w:val="00447410"/>
    <w:rsid w:val="004474D0"/>
    <w:rsid w:val="0044753B"/>
    <w:rsid w:val="004475C3"/>
    <w:rsid w:val="0044775D"/>
    <w:rsid w:val="00447772"/>
    <w:rsid w:val="00447961"/>
    <w:rsid w:val="00447F63"/>
    <w:rsid w:val="004500B6"/>
    <w:rsid w:val="00450197"/>
    <w:rsid w:val="004503C1"/>
    <w:rsid w:val="0045056B"/>
    <w:rsid w:val="004505CB"/>
    <w:rsid w:val="004505E7"/>
    <w:rsid w:val="004509F2"/>
    <w:rsid w:val="00450AAF"/>
    <w:rsid w:val="004511A7"/>
    <w:rsid w:val="004511AE"/>
    <w:rsid w:val="00451553"/>
    <w:rsid w:val="00451740"/>
    <w:rsid w:val="004517C2"/>
    <w:rsid w:val="0045185C"/>
    <w:rsid w:val="00451A1F"/>
    <w:rsid w:val="00451A5C"/>
    <w:rsid w:val="00451C45"/>
    <w:rsid w:val="00451F03"/>
    <w:rsid w:val="004523AB"/>
    <w:rsid w:val="004527CE"/>
    <w:rsid w:val="00452ABF"/>
    <w:rsid w:val="00452AED"/>
    <w:rsid w:val="00452C9C"/>
    <w:rsid w:val="00452E92"/>
    <w:rsid w:val="00452EC4"/>
    <w:rsid w:val="004533FF"/>
    <w:rsid w:val="0045389D"/>
    <w:rsid w:val="00453A84"/>
    <w:rsid w:val="004545F4"/>
    <w:rsid w:val="004546DA"/>
    <w:rsid w:val="004546EE"/>
    <w:rsid w:val="004547EC"/>
    <w:rsid w:val="004548BE"/>
    <w:rsid w:val="00454A1D"/>
    <w:rsid w:val="00454CC8"/>
    <w:rsid w:val="0045501F"/>
    <w:rsid w:val="004554F9"/>
    <w:rsid w:val="004556FB"/>
    <w:rsid w:val="00455931"/>
    <w:rsid w:val="00455AA9"/>
    <w:rsid w:val="00455EB2"/>
    <w:rsid w:val="0045608B"/>
    <w:rsid w:val="004564B7"/>
    <w:rsid w:val="00456755"/>
    <w:rsid w:val="00456777"/>
    <w:rsid w:val="00456C66"/>
    <w:rsid w:val="00456E54"/>
    <w:rsid w:val="00457111"/>
    <w:rsid w:val="0045719B"/>
    <w:rsid w:val="00457226"/>
    <w:rsid w:val="004572D2"/>
    <w:rsid w:val="0045737A"/>
    <w:rsid w:val="004573A8"/>
    <w:rsid w:val="0045747E"/>
    <w:rsid w:val="004576CF"/>
    <w:rsid w:val="0045777B"/>
    <w:rsid w:val="00457AD7"/>
    <w:rsid w:val="00457B3E"/>
    <w:rsid w:val="0046011F"/>
    <w:rsid w:val="004601D2"/>
    <w:rsid w:val="00460333"/>
    <w:rsid w:val="00460437"/>
    <w:rsid w:val="00460742"/>
    <w:rsid w:val="00460987"/>
    <w:rsid w:val="00460B31"/>
    <w:rsid w:val="00460BCE"/>
    <w:rsid w:val="00460C9A"/>
    <w:rsid w:val="00460D56"/>
    <w:rsid w:val="00460D9A"/>
    <w:rsid w:val="00460DDF"/>
    <w:rsid w:val="00460DE4"/>
    <w:rsid w:val="00460E50"/>
    <w:rsid w:val="004614B1"/>
    <w:rsid w:val="00461996"/>
    <w:rsid w:val="00461C4C"/>
    <w:rsid w:val="00461E41"/>
    <w:rsid w:val="00461F43"/>
    <w:rsid w:val="0046219C"/>
    <w:rsid w:val="004622E9"/>
    <w:rsid w:val="0046250E"/>
    <w:rsid w:val="00462725"/>
    <w:rsid w:val="00462931"/>
    <w:rsid w:val="00462B81"/>
    <w:rsid w:val="00462C89"/>
    <w:rsid w:val="00462FED"/>
    <w:rsid w:val="0046302D"/>
    <w:rsid w:val="0046304C"/>
    <w:rsid w:val="004630F7"/>
    <w:rsid w:val="004633BA"/>
    <w:rsid w:val="00463735"/>
    <w:rsid w:val="00463848"/>
    <w:rsid w:val="00463849"/>
    <w:rsid w:val="00463921"/>
    <w:rsid w:val="00463938"/>
    <w:rsid w:val="00463B62"/>
    <w:rsid w:val="00463D14"/>
    <w:rsid w:val="00463E0D"/>
    <w:rsid w:val="00463EF2"/>
    <w:rsid w:val="004640E8"/>
    <w:rsid w:val="004641A2"/>
    <w:rsid w:val="004641A4"/>
    <w:rsid w:val="004643C6"/>
    <w:rsid w:val="00464796"/>
    <w:rsid w:val="00464B56"/>
    <w:rsid w:val="00465067"/>
    <w:rsid w:val="00465469"/>
    <w:rsid w:val="00465610"/>
    <w:rsid w:val="004658FD"/>
    <w:rsid w:val="00465CCE"/>
    <w:rsid w:val="00465CEC"/>
    <w:rsid w:val="004665F9"/>
    <w:rsid w:val="0046665E"/>
    <w:rsid w:val="00466660"/>
    <w:rsid w:val="00466903"/>
    <w:rsid w:val="004669FA"/>
    <w:rsid w:val="004669FC"/>
    <w:rsid w:val="00466A63"/>
    <w:rsid w:val="00466D91"/>
    <w:rsid w:val="00466D9A"/>
    <w:rsid w:val="00466F26"/>
    <w:rsid w:val="00467276"/>
    <w:rsid w:val="00467506"/>
    <w:rsid w:val="004679FD"/>
    <w:rsid w:val="00467D45"/>
    <w:rsid w:val="00467F9D"/>
    <w:rsid w:val="0047039B"/>
    <w:rsid w:val="0047069C"/>
    <w:rsid w:val="00470974"/>
    <w:rsid w:val="00470A5C"/>
    <w:rsid w:val="00470A7D"/>
    <w:rsid w:val="004710A4"/>
    <w:rsid w:val="0047114A"/>
    <w:rsid w:val="0047120E"/>
    <w:rsid w:val="00471245"/>
    <w:rsid w:val="00471426"/>
    <w:rsid w:val="004714BA"/>
    <w:rsid w:val="00471696"/>
    <w:rsid w:val="004717FB"/>
    <w:rsid w:val="004719DB"/>
    <w:rsid w:val="00471C6F"/>
    <w:rsid w:val="00471ED0"/>
    <w:rsid w:val="00472137"/>
    <w:rsid w:val="0047216C"/>
    <w:rsid w:val="00472255"/>
    <w:rsid w:val="00472521"/>
    <w:rsid w:val="0047271B"/>
    <w:rsid w:val="00472780"/>
    <w:rsid w:val="00472A97"/>
    <w:rsid w:val="00472C90"/>
    <w:rsid w:val="00472FBF"/>
    <w:rsid w:val="00473003"/>
    <w:rsid w:val="00473103"/>
    <w:rsid w:val="0047353C"/>
    <w:rsid w:val="004735AC"/>
    <w:rsid w:val="004735FE"/>
    <w:rsid w:val="00473740"/>
    <w:rsid w:val="00473965"/>
    <w:rsid w:val="00473A52"/>
    <w:rsid w:val="004744FC"/>
    <w:rsid w:val="00474782"/>
    <w:rsid w:val="00474AF5"/>
    <w:rsid w:val="00475042"/>
    <w:rsid w:val="00475169"/>
    <w:rsid w:val="00475253"/>
    <w:rsid w:val="004753E7"/>
    <w:rsid w:val="0047540C"/>
    <w:rsid w:val="00475619"/>
    <w:rsid w:val="00475663"/>
    <w:rsid w:val="004758C2"/>
    <w:rsid w:val="00475F18"/>
    <w:rsid w:val="004760DB"/>
    <w:rsid w:val="004760FB"/>
    <w:rsid w:val="00476123"/>
    <w:rsid w:val="0047631D"/>
    <w:rsid w:val="004767CF"/>
    <w:rsid w:val="00476F32"/>
    <w:rsid w:val="00477011"/>
    <w:rsid w:val="0047738B"/>
    <w:rsid w:val="00477441"/>
    <w:rsid w:val="004779FC"/>
    <w:rsid w:val="00480047"/>
    <w:rsid w:val="004801A6"/>
    <w:rsid w:val="004803C3"/>
    <w:rsid w:val="00480788"/>
    <w:rsid w:val="004808D5"/>
    <w:rsid w:val="00481045"/>
    <w:rsid w:val="00481164"/>
    <w:rsid w:val="004815EF"/>
    <w:rsid w:val="00481866"/>
    <w:rsid w:val="00481E71"/>
    <w:rsid w:val="00482A45"/>
    <w:rsid w:val="00482AD8"/>
    <w:rsid w:val="00482B6A"/>
    <w:rsid w:val="00482DEA"/>
    <w:rsid w:val="004830C3"/>
    <w:rsid w:val="00483347"/>
    <w:rsid w:val="00483438"/>
    <w:rsid w:val="00483776"/>
    <w:rsid w:val="00483991"/>
    <w:rsid w:val="00483A39"/>
    <w:rsid w:val="00483AB2"/>
    <w:rsid w:val="004840EB"/>
    <w:rsid w:val="00484235"/>
    <w:rsid w:val="004846DC"/>
    <w:rsid w:val="00484832"/>
    <w:rsid w:val="0048498B"/>
    <w:rsid w:val="00484B0D"/>
    <w:rsid w:val="00484BD4"/>
    <w:rsid w:val="00484D19"/>
    <w:rsid w:val="00484DB7"/>
    <w:rsid w:val="00484FA6"/>
    <w:rsid w:val="00485077"/>
    <w:rsid w:val="0048511D"/>
    <w:rsid w:val="00485612"/>
    <w:rsid w:val="00485797"/>
    <w:rsid w:val="0048584F"/>
    <w:rsid w:val="00485A84"/>
    <w:rsid w:val="00485BDB"/>
    <w:rsid w:val="00486088"/>
    <w:rsid w:val="00486150"/>
    <w:rsid w:val="0048625E"/>
    <w:rsid w:val="004862CA"/>
    <w:rsid w:val="004866D5"/>
    <w:rsid w:val="00486902"/>
    <w:rsid w:val="00486940"/>
    <w:rsid w:val="00486B22"/>
    <w:rsid w:val="00487000"/>
    <w:rsid w:val="00487037"/>
    <w:rsid w:val="0048707B"/>
    <w:rsid w:val="004871CA"/>
    <w:rsid w:val="004873C9"/>
    <w:rsid w:val="004873E9"/>
    <w:rsid w:val="0048751B"/>
    <w:rsid w:val="0048763D"/>
    <w:rsid w:val="0048778E"/>
    <w:rsid w:val="00487C0C"/>
    <w:rsid w:val="00487CF1"/>
    <w:rsid w:val="00487D4C"/>
    <w:rsid w:val="004901B6"/>
    <w:rsid w:val="00490483"/>
    <w:rsid w:val="004905BC"/>
    <w:rsid w:val="00490D5D"/>
    <w:rsid w:val="00490DC1"/>
    <w:rsid w:val="0049123E"/>
    <w:rsid w:val="00491315"/>
    <w:rsid w:val="0049132F"/>
    <w:rsid w:val="00491392"/>
    <w:rsid w:val="004913F2"/>
    <w:rsid w:val="004917B4"/>
    <w:rsid w:val="00491C7C"/>
    <w:rsid w:val="00491E5B"/>
    <w:rsid w:val="00491F7B"/>
    <w:rsid w:val="00492183"/>
    <w:rsid w:val="004927C7"/>
    <w:rsid w:val="00492801"/>
    <w:rsid w:val="004929EC"/>
    <w:rsid w:val="004931D8"/>
    <w:rsid w:val="00493415"/>
    <w:rsid w:val="0049365E"/>
    <w:rsid w:val="00493AAB"/>
    <w:rsid w:val="00493C09"/>
    <w:rsid w:val="00494174"/>
    <w:rsid w:val="004941CE"/>
    <w:rsid w:val="004946C6"/>
    <w:rsid w:val="00494701"/>
    <w:rsid w:val="00494812"/>
    <w:rsid w:val="00494C0C"/>
    <w:rsid w:val="00495118"/>
    <w:rsid w:val="00495902"/>
    <w:rsid w:val="0049594D"/>
    <w:rsid w:val="00496604"/>
    <w:rsid w:val="00496731"/>
    <w:rsid w:val="00496871"/>
    <w:rsid w:val="004969A7"/>
    <w:rsid w:val="00496B7C"/>
    <w:rsid w:val="00496D72"/>
    <w:rsid w:val="00496F4F"/>
    <w:rsid w:val="004971C2"/>
    <w:rsid w:val="004972A1"/>
    <w:rsid w:val="00497594"/>
    <w:rsid w:val="004976C0"/>
    <w:rsid w:val="004979D5"/>
    <w:rsid w:val="00497B10"/>
    <w:rsid w:val="004A0082"/>
    <w:rsid w:val="004A015A"/>
    <w:rsid w:val="004A02E7"/>
    <w:rsid w:val="004A0644"/>
    <w:rsid w:val="004A07F4"/>
    <w:rsid w:val="004A0F8E"/>
    <w:rsid w:val="004A102C"/>
    <w:rsid w:val="004A14EF"/>
    <w:rsid w:val="004A1837"/>
    <w:rsid w:val="004A1FD0"/>
    <w:rsid w:val="004A20A2"/>
    <w:rsid w:val="004A22BE"/>
    <w:rsid w:val="004A22C2"/>
    <w:rsid w:val="004A265F"/>
    <w:rsid w:val="004A2DF4"/>
    <w:rsid w:val="004A2E6D"/>
    <w:rsid w:val="004A3274"/>
    <w:rsid w:val="004A33E2"/>
    <w:rsid w:val="004A344F"/>
    <w:rsid w:val="004A35F3"/>
    <w:rsid w:val="004A373E"/>
    <w:rsid w:val="004A3951"/>
    <w:rsid w:val="004A3A7D"/>
    <w:rsid w:val="004A4160"/>
    <w:rsid w:val="004A4A36"/>
    <w:rsid w:val="004A4A47"/>
    <w:rsid w:val="004A4C74"/>
    <w:rsid w:val="004A4CCE"/>
    <w:rsid w:val="004A4DBC"/>
    <w:rsid w:val="004A5031"/>
    <w:rsid w:val="004A5732"/>
    <w:rsid w:val="004A5FCD"/>
    <w:rsid w:val="004A601D"/>
    <w:rsid w:val="004A6094"/>
    <w:rsid w:val="004A6381"/>
    <w:rsid w:val="004A6387"/>
    <w:rsid w:val="004A649F"/>
    <w:rsid w:val="004A6780"/>
    <w:rsid w:val="004A6816"/>
    <w:rsid w:val="004A6E82"/>
    <w:rsid w:val="004A70A3"/>
    <w:rsid w:val="004A72D4"/>
    <w:rsid w:val="004A748B"/>
    <w:rsid w:val="004A74AE"/>
    <w:rsid w:val="004A770C"/>
    <w:rsid w:val="004A7982"/>
    <w:rsid w:val="004A7B1F"/>
    <w:rsid w:val="004A7B7C"/>
    <w:rsid w:val="004A7C82"/>
    <w:rsid w:val="004A7F6F"/>
    <w:rsid w:val="004B005F"/>
    <w:rsid w:val="004B0119"/>
    <w:rsid w:val="004B014D"/>
    <w:rsid w:val="004B029C"/>
    <w:rsid w:val="004B0344"/>
    <w:rsid w:val="004B068B"/>
    <w:rsid w:val="004B09D0"/>
    <w:rsid w:val="004B0B34"/>
    <w:rsid w:val="004B0C70"/>
    <w:rsid w:val="004B0F6A"/>
    <w:rsid w:val="004B10A6"/>
    <w:rsid w:val="004B1136"/>
    <w:rsid w:val="004B1193"/>
    <w:rsid w:val="004B1499"/>
    <w:rsid w:val="004B17DE"/>
    <w:rsid w:val="004B186D"/>
    <w:rsid w:val="004B18A9"/>
    <w:rsid w:val="004B1A09"/>
    <w:rsid w:val="004B1E54"/>
    <w:rsid w:val="004B1F17"/>
    <w:rsid w:val="004B1F1A"/>
    <w:rsid w:val="004B1FFE"/>
    <w:rsid w:val="004B2286"/>
    <w:rsid w:val="004B23F3"/>
    <w:rsid w:val="004B24DE"/>
    <w:rsid w:val="004B25C0"/>
    <w:rsid w:val="004B2716"/>
    <w:rsid w:val="004B273C"/>
    <w:rsid w:val="004B2D30"/>
    <w:rsid w:val="004B2D89"/>
    <w:rsid w:val="004B3016"/>
    <w:rsid w:val="004B30FE"/>
    <w:rsid w:val="004B34E9"/>
    <w:rsid w:val="004B3E02"/>
    <w:rsid w:val="004B4155"/>
    <w:rsid w:val="004B45D2"/>
    <w:rsid w:val="004B4821"/>
    <w:rsid w:val="004B4AA2"/>
    <w:rsid w:val="004B5119"/>
    <w:rsid w:val="004B5276"/>
    <w:rsid w:val="004B5598"/>
    <w:rsid w:val="004B5A15"/>
    <w:rsid w:val="004B5A85"/>
    <w:rsid w:val="004B606C"/>
    <w:rsid w:val="004B6075"/>
    <w:rsid w:val="004B61BE"/>
    <w:rsid w:val="004B64B9"/>
    <w:rsid w:val="004B65C2"/>
    <w:rsid w:val="004B6FAD"/>
    <w:rsid w:val="004B733C"/>
    <w:rsid w:val="004B733D"/>
    <w:rsid w:val="004B73EA"/>
    <w:rsid w:val="004B7E7E"/>
    <w:rsid w:val="004B7ED7"/>
    <w:rsid w:val="004C0145"/>
    <w:rsid w:val="004C016C"/>
    <w:rsid w:val="004C086B"/>
    <w:rsid w:val="004C0A38"/>
    <w:rsid w:val="004C0B3B"/>
    <w:rsid w:val="004C0FCB"/>
    <w:rsid w:val="004C129E"/>
    <w:rsid w:val="004C153D"/>
    <w:rsid w:val="004C17C6"/>
    <w:rsid w:val="004C1D9F"/>
    <w:rsid w:val="004C1F41"/>
    <w:rsid w:val="004C1FA6"/>
    <w:rsid w:val="004C21AF"/>
    <w:rsid w:val="004C2212"/>
    <w:rsid w:val="004C24E2"/>
    <w:rsid w:val="004C2579"/>
    <w:rsid w:val="004C25DB"/>
    <w:rsid w:val="004C25DF"/>
    <w:rsid w:val="004C2BE4"/>
    <w:rsid w:val="004C2BE7"/>
    <w:rsid w:val="004C2DF8"/>
    <w:rsid w:val="004C2EE1"/>
    <w:rsid w:val="004C310F"/>
    <w:rsid w:val="004C31A2"/>
    <w:rsid w:val="004C31D6"/>
    <w:rsid w:val="004C31E5"/>
    <w:rsid w:val="004C38A6"/>
    <w:rsid w:val="004C3E38"/>
    <w:rsid w:val="004C4253"/>
    <w:rsid w:val="004C4452"/>
    <w:rsid w:val="004C44E9"/>
    <w:rsid w:val="004C452C"/>
    <w:rsid w:val="004C495F"/>
    <w:rsid w:val="004C4B7B"/>
    <w:rsid w:val="004C4CB6"/>
    <w:rsid w:val="004C4EAE"/>
    <w:rsid w:val="004C5026"/>
    <w:rsid w:val="004C53C4"/>
    <w:rsid w:val="004C568E"/>
    <w:rsid w:val="004C582A"/>
    <w:rsid w:val="004C58D4"/>
    <w:rsid w:val="004C5983"/>
    <w:rsid w:val="004C5C3B"/>
    <w:rsid w:val="004C5CB0"/>
    <w:rsid w:val="004C5EFD"/>
    <w:rsid w:val="004C5F45"/>
    <w:rsid w:val="004C60DE"/>
    <w:rsid w:val="004C6150"/>
    <w:rsid w:val="004C6460"/>
    <w:rsid w:val="004C6C09"/>
    <w:rsid w:val="004C6D0C"/>
    <w:rsid w:val="004C73F6"/>
    <w:rsid w:val="004C76B4"/>
    <w:rsid w:val="004C780A"/>
    <w:rsid w:val="004C7B97"/>
    <w:rsid w:val="004C7CFA"/>
    <w:rsid w:val="004C7DC2"/>
    <w:rsid w:val="004C7FCD"/>
    <w:rsid w:val="004D02A8"/>
    <w:rsid w:val="004D0661"/>
    <w:rsid w:val="004D06B3"/>
    <w:rsid w:val="004D0A67"/>
    <w:rsid w:val="004D0AA7"/>
    <w:rsid w:val="004D0BC2"/>
    <w:rsid w:val="004D0C2F"/>
    <w:rsid w:val="004D0F2D"/>
    <w:rsid w:val="004D0FD5"/>
    <w:rsid w:val="004D1011"/>
    <w:rsid w:val="004D1061"/>
    <w:rsid w:val="004D1209"/>
    <w:rsid w:val="004D16EA"/>
    <w:rsid w:val="004D1B21"/>
    <w:rsid w:val="004D1F14"/>
    <w:rsid w:val="004D1F82"/>
    <w:rsid w:val="004D227D"/>
    <w:rsid w:val="004D244C"/>
    <w:rsid w:val="004D2471"/>
    <w:rsid w:val="004D24A5"/>
    <w:rsid w:val="004D290B"/>
    <w:rsid w:val="004D2ACA"/>
    <w:rsid w:val="004D2B21"/>
    <w:rsid w:val="004D2C2F"/>
    <w:rsid w:val="004D2CB1"/>
    <w:rsid w:val="004D2D2F"/>
    <w:rsid w:val="004D2DED"/>
    <w:rsid w:val="004D2E44"/>
    <w:rsid w:val="004D3074"/>
    <w:rsid w:val="004D313F"/>
    <w:rsid w:val="004D32DC"/>
    <w:rsid w:val="004D32ED"/>
    <w:rsid w:val="004D3348"/>
    <w:rsid w:val="004D3649"/>
    <w:rsid w:val="004D3679"/>
    <w:rsid w:val="004D3B03"/>
    <w:rsid w:val="004D3BC1"/>
    <w:rsid w:val="004D3BC7"/>
    <w:rsid w:val="004D3DCE"/>
    <w:rsid w:val="004D3E36"/>
    <w:rsid w:val="004D3E52"/>
    <w:rsid w:val="004D3F77"/>
    <w:rsid w:val="004D4350"/>
    <w:rsid w:val="004D4388"/>
    <w:rsid w:val="004D4506"/>
    <w:rsid w:val="004D461D"/>
    <w:rsid w:val="004D4632"/>
    <w:rsid w:val="004D466F"/>
    <w:rsid w:val="004D47EB"/>
    <w:rsid w:val="004D486D"/>
    <w:rsid w:val="004D4922"/>
    <w:rsid w:val="004D4CB3"/>
    <w:rsid w:val="004D4D9B"/>
    <w:rsid w:val="004D5039"/>
    <w:rsid w:val="004D5287"/>
    <w:rsid w:val="004D5A80"/>
    <w:rsid w:val="004D5AE1"/>
    <w:rsid w:val="004D5B57"/>
    <w:rsid w:val="004D604C"/>
    <w:rsid w:val="004D606F"/>
    <w:rsid w:val="004D6B6C"/>
    <w:rsid w:val="004D76C9"/>
    <w:rsid w:val="004D7EFD"/>
    <w:rsid w:val="004E03E7"/>
    <w:rsid w:val="004E06AD"/>
    <w:rsid w:val="004E07F8"/>
    <w:rsid w:val="004E081C"/>
    <w:rsid w:val="004E0AB3"/>
    <w:rsid w:val="004E0AC9"/>
    <w:rsid w:val="004E0C74"/>
    <w:rsid w:val="004E0E2D"/>
    <w:rsid w:val="004E0F2E"/>
    <w:rsid w:val="004E0F5F"/>
    <w:rsid w:val="004E1142"/>
    <w:rsid w:val="004E1296"/>
    <w:rsid w:val="004E17A0"/>
    <w:rsid w:val="004E17E2"/>
    <w:rsid w:val="004E183A"/>
    <w:rsid w:val="004E192A"/>
    <w:rsid w:val="004E1D9E"/>
    <w:rsid w:val="004E1E70"/>
    <w:rsid w:val="004E1EAD"/>
    <w:rsid w:val="004E202C"/>
    <w:rsid w:val="004E24AC"/>
    <w:rsid w:val="004E28D8"/>
    <w:rsid w:val="004E2EB6"/>
    <w:rsid w:val="004E2F2E"/>
    <w:rsid w:val="004E31F9"/>
    <w:rsid w:val="004E383D"/>
    <w:rsid w:val="004E3B98"/>
    <w:rsid w:val="004E3BFC"/>
    <w:rsid w:val="004E3C3D"/>
    <w:rsid w:val="004E3C54"/>
    <w:rsid w:val="004E3DC3"/>
    <w:rsid w:val="004E42D2"/>
    <w:rsid w:val="004E42F0"/>
    <w:rsid w:val="004E4722"/>
    <w:rsid w:val="004E486C"/>
    <w:rsid w:val="004E48B2"/>
    <w:rsid w:val="004E4A71"/>
    <w:rsid w:val="004E4E33"/>
    <w:rsid w:val="004E537D"/>
    <w:rsid w:val="004E5433"/>
    <w:rsid w:val="004E5447"/>
    <w:rsid w:val="004E56DD"/>
    <w:rsid w:val="004E65B3"/>
    <w:rsid w:val="004E6903"/>
    <w:rsid w:val="004E6A5A"/>
    <w:rsid w:val="004E6AAB"/>
    <w:rsid w:val="004E6EDC"/>
    <w:rsid w:val="004E7042"/>
    <w:rsid w:val="004E723D"/>
    <w:rsid w:val="004E7409"/>
    <w:rsid w:val="004E7631"/>
    <w:rsid w:val="004E796E"/>
    <w:rsid w:val="004E79A6"/>
    <w:rsid w:val="004F0009"/>
    <w:rsid w:val="004F00D1"/>
    <w:rsid w:val="004F01E5"/>
    <w:rsid w:val="004F02DA"/>
    <w:rsid w:val="004F0497"/>
    <w:rsid w:val="004F092E"/>
    <w:rsid w:val="004F0EFD"/>
    <w:rsid w:val="004F134A"/>
    <w:rsid w:val="004F16D6"/>
    <w:rsid w:val="004F1725"/>
    <w:rsid w:val="004F1904"/>
    <w:rsid w:val="004F1ADD"/>
    <w:rsid w:val="004F1B76"/>
    <w:rsid w:val="004F2296"/>
    <w:rsid w:val="004F2A73"/>
    <w:rsid w:val="004F2B21"/>
    <w:rsid w:val="004F2DB9"/>
    <w:rsid w:val="004F30AD"/>
    <w:rsid w:val="004F325C"/>
    <w:rsid w:val="004F3326"/>
    <w:rsid w:val="004F339F"/>
    <w:rsid w:val="004F344A"/>
    <w:rsid w:val="004F3652"/>
    <w:rsid w:val="004F36E0"/>
    <w:rsid w:val="004F36F6"/>
    <w:rsid w:val="004F375E"/>
    <w:rsid w:val="004F37A3"/>
    <w:rsid w:val="004F3843"/>
    <w:rsid w:val="004F3A88"/>
    <w:rsid w:val="004F3D51"/>
    <w:rsid w:val="004F3F06"/>
    <w:rsid w:val="004F4077"/>
    <w:rsid w:val="004F40FD"/>
    <w:rsid w:val="004F41B5"/>
    <w:rsid w:val="004F4555"/>
    <w:rsid w:val="004F4628"/>
    <w:rsid w:val="004F4A92"/>
    <w:rsid w:val="004F4BE1"/>
    <w:rsid w:val="004F559A"/>
    <w:rsid w:val="004F56C3"/>
    <w:rsid w:val="004F57D4"/>
    <w:rsid w:val="004F59CF"/>
    <w:rsid w:val="004F5ACE"/>
    <w:rsid w:val="004F5D8C"/>
    <w:rsid w:val="004F5E3E"/>
    <w:rsid w:val="004F5F90"/>
    <w:rsid w:val="004F60A1"/>
    <w:rsid w:val="004F611D"/>
    <w:rsid w:val="004F6394"/>
    <w:rsid w:val="004F66C0"/>
    <w:rsid w:val="004F67CD"/>
    <w:rsid w:val="004F749E"/>
    <w:rsid w:val="004F75CC"/>
    <w:rsid w:val="004F7614"/>
    <w:rsid w:val="004F7698"/>
    <w:rsid w:val="004F7A61"/>
    <w:rsid w:val="004F7E36"/>
    <w:rsid w:val="00500102"/>
    <w:rsid w:val="0050015D"/>
    <w:rsid w:val="00500296"/>
    <w:rsid w:val="0050036F"/>
    <w:rsid w:val="00500688"/>
    <w:rsid w:val="005007F6"/>
    <w:rsid w:val="00500996"/>
    <w:rsid w:val="00500C95"/>
    <w:rsid w:val="00500DDF"/>
    <w:rsid w:val="00500E4D"/>
    <w:rsid w:val="005010BE"/>
    <w:rsid w:val="00501125"/>
    <w:rsid w:val="00501421"/>
    <w:rsid w:val="0050148A"/>
    <w:rsid w:val="00501AE5"/>
    <w:rsid w:val="0050205C"/>
    <w:rsid w:val="00502281"/>
    <w:rsid w:val="00502474"/>
    <w:rsid w:val="00502476"/>
    <w:rsid w:val="0050255A"/>
    <w:rsid w:val="005028F8"/>
    <w:rsid w:val="00502AE7"/>
    <w:rsid w:val="00502B3F"/>
    <w:rsid w:val="00502B41"/>
    <w:rsid w:val="00502CD2"/>
    <w:rsid w:val="00503078"/>
    <w:rsid w:val="00503233"/>
    <w:rsid w:val="0050396C"/>
    <w:rsid w:val="005039A1"/>
    <w:rsid w:val="0050428C"/>
    <w:rsid w:val="005042DA"/>
    <w:rsid w:val="005044FF"/>
    <w:rsid w:val="005045E6"/>
    <w:rsid w:val="0050496B"/>
    <w:rsid w:val="00504A32"/>
    <w:rsid w:val="00504CA9"/>
    <w:rsid w:val="00504D86"/>
    <w:rsid w:val="00504E40"/>
    <w:rsid w:val="00504F18"/>
    <w:rsid w:val="00504FF6"/>
    <w:rsid w:val="00505118"/>
    <w:rsid w:val="005055C9"/>
    <w:rsid w:val="00505A24"/>
    <w:rsid w:val="00505DBE"/>
    <w:rsid w:val="005060AB"/>
    <w:rsid w:val="005060B4"/>
    <w:rsid w:val="00506AF4"/>
    <w:rsid w:val="00506C9C"/>
    <w:rsid w:val="00506D55"/>
    <w:rsid w:val="0050700B"/>
    <w:rsid w:val="00507019"/>
    <w:rsid w:val="00507075"/>
    <w:rsid w:val="005071B8"/>
    <w:rsid w:val="005074E2"/>
    <w:rsid w:val="005075C8"/>
    <w:rsid w:val="0050793A"/>
    <w:rsid w:val="00507B98"/>
    <w:rsid w:val="00507CCB"/>
    <w:rsid w:val="00507D3F"/>
    <w:rsid w:val="00507D92"/>
    <w:rsid w:val="00507F20"/>
    <w:rsid w:val="00507F63"/>
    <w:rsid w:val="0051010D"/>
    <w:rsid w:val="00510488"/>
    <w:rsid w:val="0051064D"/>
    <w:rsid w:val="005108F8"/>
    <w:rsid w:val="00510A91"/>
    <w:rsid w:val="00510D15"/>
    <w:rsid w:val="00510FB0"/>
    <w:rsid w:val="00510FDB"/>
    <w:rsid w:val="00511321"/>
    <w:rsid w:val="0051147E"/>
    <w:rsid w:val="00511494"/>
    <w:rsid w:val="005116E9"/>
    <w:rsid w:val="00511DA7"/>
    <w:rsid w:val="00511E5D"/>
    <w:rsid w:val="00511E5F"/>
    <w:rsid w:val="00511E7F"/>
    <w:rsid w:val="00512057"/>
    <w:rsid w:val="0051206C"/>
    <w:rsid w:val="005120AE"/>
    <w:rsid w:val="00512128"/>
    <w:rsid w:val="00512185"/>
    <w:rsid w:val="005122CE"/>
    <w:rsid w:val="0051251D"/>
    <w:rsid w:val="005125F9"/>
    <w:rsid w:val="00512A1E"/>
    <w:rsid w:val="00512A9E"/>
    <w:rsid w:val="00512CE1"/>
    <w:rsid w:val="00512ED7"/>
    <w:rsid w:val="0051303A"/>
    <w:rsid w:val="005134A0"/>
    <w:rsid w:val="0051354B"/>
    <w:rsid w:val="00513637"/>
    <w:rsid w:val="005136E7"/>
    <w:rsid w:val="0051391A"/>
    <w:rsid w:val="00513D69"/>
    <w:rsid w:val="00514032"/>
    <w:rsid w:val="00514088"/>
    <w:rsid w:val="00514197"/>
    <w:rsid w:val="00514486"/>
    <w:rsid w:val="00514563"/>
    <w:rsid w:val="0051458C"/>
    <w:rsid w:val="00514863"/>
    <w:rsid w:val="005149C8"/>
    <w:rsid w:val="00514A32"/>
    <w:rsid w:val="00514E99"/>
    <w:rsid w:val="005153BF"/>
    <w:rsid w:val="005157A6"/>
    <w:rsid w:val="00516393"/>
    <w:rsid w:val="005163D7"/>
    <w:rsid w:val="00516546"/>
    <w:rsid w:val="0051690B"/>
    <w:rsid w:val="005169B0"/>
    <w:rsid w:val="00516DBA"/>
    <w:rsid w:val="00517037"/>
    <w:rsid w:val="00517974"/>
    <w:rsid w:val="00517A3A"/>
    <w:rsid w:val="00517BF7"/>
    <w:rsid w:val="00517E2E"/>
    <w:rsid w:val="00520180"/>
    <w:rsid w:val="00520614"/>
    <w:rsid w:val="0052062A"/>
    <w:rsid w:val="00520666"/>
    <w:rsid w:val="005206D1"/>
    <w:rsid w:val="005207A5"/>
    <w:rsid w:val="005208BA"/>
    <w:rsid w:val="0052099D"/>
    <w:rsid w:val="005210F0"/>
    <w:rsid w:val="00521112"/>
    <w:rsid w:val="005211CD"/>
    <w:rsid w:val="00521721"/>
    <w:rsid w:val="005217E9"/>
    <w:rsid w:val="00521AC5"/>
    <w:rsid w:val="00521F2B"/>
    <w:rsid w:val="005220C3"/>
    <w:rsid w:val="005226DD"/>
    <w:rsid w:val="0052288F"/>
    <w:rsid w:val="00522CB5"/>
    <w:rsid w:val="00522CBF"/>
    <w:rsid w:val="00522E71"/>
    <w:rsid w:val="00523556"/>
    <w:rsid w:val="00524246"/>
    <w:rsid w:val="005242D1"/>
    <w:rsid w:val="0052442F"/>
    <w:rsid w:val="005245AD"/>
    <w:rsid w:val="005248FA"/>
    <w:rsid w:val="00524EE3"/>
    <w:rsid w:val="0052517A"/>
    <w:rsid w:val="0052524C"/>
    <w:rsid w:val="00525270"/>
    <w:rsid w:val="005257E0"/>
    <w:rsid w:val="005259F4"/>
    <w:rsid w:val="00525AF7"/>
    <w:rsid w:val="00525D11"/>
    <w:rsid w:val="00525F70"/>
    <w:rsid w:val="00526360"/>
    <w:rsid w:val="005263A7"/>
    <w:rsid w:val="00526522"/>
    <w:rsid w:val="005265C3"/>
    <w:rsid w:val="0052675D"/>
    <w:rsid w:val="00526867"/>
    <w:rsid w:val="00526C81"/>
    <w:rsid w:val="00526D06"/>
    <w:rsid w:val="005270D3"/>
    <w:rsid w:val="00527347"/>
    <w:rsid w:val="00527579"/>
    <w:rsid w:val="005277F9"/>
    <w:rsid w:val="00527FEA"/>
    <w:rsid w:val="0053015A"/>
    <w:rsid w:val="00530556"/>
    <w:rsid w:val="00530607"/>
    <w:rsid w:val="00530772"/>
    <w:rsid w:val="00530B5D"/>
    <w:rsid w:val="00531165"/>
    <w:rsid w:val="005314AE"/>
    <w:rsid w:val="00531DC9"/>
    <w:rsid w:val="00531F37"/>
    <w:rsid w:val="00532A05"/>
    <w:rsid w:val="00532B71"/>
    <w:rsid w:val="00532BFF"/>
    <w:rsid w:val="00532FE7"/>
    <w:rsid w:val="005337E5"/>
    <w:rsid w:val="00533AF4"/>
    <w:rsid w:val="00533B35"/>
    <w:rsid w:val="00533EE3"/>
    <w:rsid w:val="005340BA"/>
    <w:rsid w:val="0053447D"/>
    <w:rsid w:val="00534660"/>
    <w:rsid w:val="005347F1"/>
    <w:rsid w:val="00534A31"/>
    <w:rsid w:val="00534BFA"/>
    <w:rsid w:val="00534E00"/>
    <w:rsid w:val="005351F4"/>
    <w:rsid w:val="00535326"/>
    <w:rsid w:val="005359AA"/>
    <w:rsid w:val="005359D7"/>
    <w:rsid w:val="00535A2E"/>
    <w:rsid w:val="00535A7D"/>
    <w:rsid w:val="00535BB2"/>
    <w:rsid w:val="0053601F"/>
    <w:rsid w:val="00536274"/>
    <w:rsid w:val="0053629A"/>
    <w:rsid w:val="0053680C"/>
    <w:rsid w:val="00536C44"/>
    <w:rsid w:val="00536EA3"/>
    <w:rsid w:val="00537034"/>
    <w:rsid w:val="0053703C"/>
    <w:rsid w:val="005376C4"/>
    <w:rsid w:val="005379D3"/>
    <w:rsid w:val="00537A7E"/>
    <w:rsid w:val="00537ACE"/>
    <w:rsid w:val="00537B07"/>
    <w:rsid w:val="00537CB7"/>
    <w:rsid w:val="005400D0"/>
    <w:rsid w:val="0054017C"/>
    <w:rsid w:val="00540292"/>
    <w:rsid w:val="005402AD"/>
    <w:rsid w:val="005403AE"/>
    <w:rsid w:val="0054049A"/>
    <w:rsid w:val="00540A07"/>
    <w:rsid w:val="00540B4E"/>
    <w:rsid w:val="00540DBB"/>
    <w:rsid w:val="0054100A"/>
    <w:rsid w:val="0054116C"/>
    <w:rsid w:val="0054182B"/>
    <w:rsid w:val="005418BC"/>
    <w:rsid w:val="00541AD9"/>
    <w:rsid w:val="00541EAD"/>
    <w:rsid w:val="00541ECD"/>
    <w:rsid w:val="005424B8"/>
    <w:rsid w:val="00542592"/>
    <w:rsid w:val="00542612"/>
    <w:rsid w:val="00542779"/>
    <w:rsid w:val="00542817"/>
    <w:rsid w:val="0054286E"/>
    <w:rsid w:val="00542F0A"/>
    <w:rsid w:val="00542F15"/>
    <w:rsid w:val="00543292"/>
    <w:rsid w:val="005432B6"/>
    <w:rsid w:val="005432DC"/>
    <w:rsid w:val="005433E6"/>
    <w:rsid w:val="00543466"/>
    <w:rsid w:val="00543919"/>
    <w:rsid w:val="00543AE1"/>
    <w:rsid w:val="00543BBE"/>
    <w:rsid w:val="00543C85"/>
    <w:rsid w:val="00543D13"/>
    <w:rsid w:val="00543D35"/>
    <w:rsid w:val="005440DB"/>
    <w:rsid w:val="00544422"/>
    <w:rsid w:val="005444CB"/>
    <w:rsid w:val="00544534"/>
    <w:rsid w:val="00544539"/>
    <w:rsid w:val="00544860"/>
    <w:rsid w:val="00544B02"/>
    <w:rsid w:val="00544BDF"/>
    <w:rsid w:val="00544BE6"/>
    <w:rsid w:val="00544EEE"/>
    <w:rsid w:val="00544F56"/>
    <w:rsid w:val="00545206"/>
    <w:rsid w:val="00545484"/>
    <w:rsid w:val="00545595"/>
    <w:rsid w:val="005456E9"/>
    <w:rsid w:val="005458CE"/>
    <w:rsid w:val="0054594C"/>
    <w:rsid w:val="00545AC7"/>
    <w:rsid w:val="00545B85"/>
    <w:rsid w:val="00545BDB"/>
    <w:rsid w:val="00545C82"/>
    <w:rsid w:val="00545FC6"/>
    <w:rsid w:val="005462DF"/>
    <w:rsid w:val="005462FC"/>
    <w:rsid w:val="005463DD"/>
    <w:rsid w:val="005464B8"/>
    <w:rsid w:val="0054669A"/>
    <w:rsid w:val="00546825"/>
    <w:rsid w:val="005468C4"/>
    <w:rsid w:val="00546E2D"/>
    <w:rsid w:val="00546E3F"/>
    <w:rsid w:val="00547091"/>
    <w:rsid w:val="0054723D"/>
    <w:rsid w:val="00547323"/>
    <w:rsid w:val="00547326"/>
    <w:rsid w:val="0054766F"/>
    <w:rsid w:val="0054783A"/>
    <w:rsid w:val="00547B61"/>
    <w:rsid w:val="00547E59"/>
    <w:rsid w:val="00547FAC"/>
    <w:rsid w:val="00551229"/>
    <w:rsid w:val="0055158A"/>
    <w:rsid w:val="00551596"/>
    <w:rsid w:val="005519AE"/>
    <w:rsid w:val="0055216D"/>
    <w:rsid w:val="005523A1"/>
    <w:rsid w:val="00552522"/>
    <w:rsid w:val="0055281A"/>
    <w:rsid w:val="00552CF9"/>
    <w:rsid w:val="00552CFF"/>
    <w:rsid w:val="00552FC8"/>
    <w:rsid w:val="00553281"/>
    <w:rsid w:val="005532A0"/>
    <w:rsid w:val="00553468"/>
    <w:rsid w:val="00553482"/>
    <w:rsid w:val="005538C7"/>
    <w:rsid w:val="00553AC4"/>
    <w:rsid w:val="00553B08"/>
    <w:rsid w:val="00553EA0"/>
    <w:rsid w:val="005540EE"/>
    <w:rsid w:val="005546C8"/>
    <w:rsid w:val="0055479A"/>
    <w:rsid w:val="005549A3"/>
    <w:rsid w:val="00554D07"/>
    <w:rsid w:val="005552C8"/>
    <w:rsid w:val="00555584"/>
    <w:rsid w:val="005557D3"/>
    <w:rsid w:val="00555910"/>
    <w:rsid w:val="00555B8A"/>
    <w:rsid w:val="00555D5F"/>
    <w:rsid w:val="00555F24"/>
    <w:rsid w:val="0055617E"/>
    <w:rsid w:val="00556238"/>
    <w:rsid w:val="00556318"/>
    <w:rsid w:val="005563AE"/>
    <w:rsid w:val="005565B2"/>
    <w:rsid w:val="0055660D"/>
    <w:rsid w:val="00556640"/>
    <w:rsid w:val="00556A86"/>
    <w:rsid w:val="00556D16"/>
    <w:rsid w:val="00556D60"/>
    <w:rsid w:val="00556D6E"/>
    <w:rsid w:val="00556E8A"/>
    <w:rsid w:val="00556FEF"/>
    <w:rsid w:val="00557015"/>
    <w:rsid w:val="00557214"/>
    <w:rsid w:val="0055756C"/>
    <w:rsid w:val="005575BF"/>
    <w:rsid w:val="00557698"/>
    <w:rsid w:val="005577C9"/>
    <w:rsid w:val="00557DAE"/>
    <w:rsid w:val="00557DBC"/>
    <w:rsid w:val="00557E2E"/>
    <w:rsid w:val="00557EE4"/>
    <w:rsid w:val="005600EA"/>
    <w:rsid w:val="00560300"/>
    <w:rsid w:val="00560336"/>
    <w:rsid w:val="00560494"/>
    <w:rsid w:val="00560A6B"/>
    <w:rsid w:val="00560CF6"/>
    <w:rsid w:val="00561492"/>
    <w:rsid w:val="005614BD"/>
    <w:rsid w:val="00561A4C"/>
    <w:rsid w:val="00561CA3"/>
    <w:rsid w:val="00561D49"/>
    <w:rsid w:val="0056205E"/>
    <w:rsid w:val="00562092"/>
    <w:rsid w:val="0056220E"/>
    <w:rsid w:val="0056247D"/>
    <w:rsid w:val="00562555"/>
    <w:rsid w:val="005625D6"/>
    <w:rsid w:val="00562A2F"/>
    <w:rsid w:val="00562A56"/>
    <w:rsid w:val="00562BC7"/>
    <w:rsid w:val="00562CCC"/>
    <w:rsid w:val="00562F56"/>
    <w:rsid w:val="00563071"/>
    <w:rsid w:val="00563752"/>
    <w:rsid w:val="00563A54"/>
    <w:rsid w:val="00563A8B"/>
    <w:rsid w:val="00563B73"/>
    <w:rsid w:val="00563B90"/>
    <w:rsid w:val="00563D9B"/>
    <w:rsid w:val="00563F09"/>
    <w:rsid w:val="00563F98"/>
    <w:rsid w:val="005646D3"/>
    <w:rsid w:val="005646F6"/>
    <w:rsid w:val="00564C37"/>
    <w:rsid w:val="00564E13"/>
    <w:rsid w:val="0056511C"/>
    <w:rsid w:val="0056546E"/>
    <w:rsid w:val="00565861"/>
    <w:rsid w:val="00565A96"/>
    <w:rsid w:val="00565B22"/>
    <w:rsid w:val="00565B35"/>
    <w:rsid w:val="00565CDC"/>
    <w:rsid w:val="00565E1F"/>
    <w:rsid w:val="00565F35"/>
    <w:rsid w:val="0056600D"/>
    <w:rsid w:val="0056660F"/>
    <w:rsid w:val="005666F8"/>
    <w:rsid w:val="00566DC8"/>
    <w:rsid w:val="005672CC"/>
    <w:rsid w:val="0056734D"/>
    <w:rsid w:val="005676A9"/>
    <w:rsid w:val="0056775D"/>
    <w:rsid w:val="00567B72"/>
    <w:rsid w:val="00567D35"/>
    <w:rsid w:val="00567DD0"/>
    <w:rsid w:val="0057003A"/>
    <w:rsid w:val="0057004A"/>
    <w:rsid w:val="00570971"/>
    <w:rsid w:val="00570B25"/>
    <w:rsid w:val="00570D96"/>
    <w:rsid w:val="00570EBB"/>
    <w:rsid w:val="00570F10"/>
    <w:rsid w:val="00570F66"/>
    <w:rsid w:val="00571079"/>
    <w:rsid w:val="00571866"/>
    <w:rsid w:val="005718CD"/>
    <w:rsid w:val="00571BE3"/>
    <w:rsid w:val="00571C02"/>
    <w:rsid w:val="00571F2E"/>
    <w:rsid w:val="00572001"/>
    <w:rsid w:val="00572D27"/>
    <w:rsid w:val="00572E08"/>
    <w:rsid w:val="00572E64"/>
    <w:rsid w:val="00572EE8"/>
    <w:rsid w:val="00572F28"/>
    <w:rsid w:val="005732AD"/>
    <w:rsid w:val="005734C0"/>
    <w:rsid w:val="005736DD"/>
    <w:rsid w:val="005739F4"/>
    <w:rsid w:val="00573E28"/>
    <w:rsid w:val="0057403F"/>
    <w:rsid w:val="0057411C"/>
    <w:rsid w:val="005741D7"/>
    <w:rsid w:val="0057467B"/>
    <w:rsid w:val="005747D2"/>
    <w:rsid w:val="00575180"/>
    <w:rsid w:val="00575277"/>
    <w:rsid w:val="005753DA"/>
    <w:rsid w:val="0057587B"/>
    <w:rsid w:val="005758AA"/>
    <w:rsid w:val="00575C79"/>
    <w:rsid w:val="0057648F"/>
    <w:rsid w:val="005765FE"/>
    <w:rsid w:val="00576704"/>
    <w:rsid w:val="00576BE2"/>
    <w:rsid w:val="00576D73"/>
    <w:rsid w:val="00576DCB"/>
    <w:rsid w:val="00576E14"/>
    <w:rsid w:val="00576E3A"/>
    <w:rsid w:val="00577659"/>
    <w:rsid w:val="005777EB"/>
    <w:rsid w:val="00577CD5"/>
    <w:rsid w:val="00577CE9"/>
    <w:rsid w:val="00577EF8"/>
    <w:rsid w:val="00577FDA"/>
    <w:rsid w:val="00580729"/>
    <w:rsid w:val="005808DC"/>
    <w:rsid w:val="00580A10"/>
    <w:rsid w:val="00580CAA"/>
    <w:rsid w:val="00580F06"/>
    <w:rsid w:val="005810BC"/>
    <w:rsid w:val="0058140B"/>
    <w:rsid w:val="005815E3"/>
    <w:rsid w:val="005816F4"/>
    <w:rsid w:val="005819A3"/>
    <w:rsid w:val="005819FD"/>
    <w:rsid w:val="00581AE3"/>
    <w:rsid w:val="00581C2D"/>
    <w:rsid w:val="00581FDB"/>
    <w:rsid w:val="00582071"/>
    <w:rsid w:val="00582414"/>
    <w:rsid w:val="00582643"/>
    <w:rsid w:val="00582759"/>
    <w:rsid w:val="00582A72"/>
    <w:rsid w:val="00582AD0"/>
    <w:rsid w:val="00582BEB"/>
    <w:rsid w:val="00582C74"/>
    <w:rsid w:val="00582E16"/>
    <w:rsid w:val="00582FC6"/>
    <w:rsid w:val="00583188"/>
    <w:rsid w:val="00583349"/>
    <w:rsid w:val="005835EB"/>
    <w:rsid w:val="0058364A"/>
    <w:rsid w:val="00583791"/>
    <w:rsid w:val="00583816"/>
    <w:rsid w:val="00583838"/>
    <w:rsid w:val="0058389B"/>
    <w:rsid w:val="0058394E"/>
    <w:rsid w:val="005840BA"/>
    <w:rsid w:val="005840EC"/>
    <w:rsid w:val="00584170"/>
    <w:rsid w:val="00584173"/>
    <w:rsid w:val="005842D5"/>
    <w:rsid w:val="00584484"/>
    <w:rsid w:val="0058450B"/>
    <w:rsid w:val="00584993"/>
    <w:rsid w:val="005849E3"/>
    <w:rsid w:val="00584D3C"/>
    <w:rsid w:val="00584D7A"/>
    <w:rsid w:val="00585000"/>
    <w:rsid w:val="0058557F"/>
    <w:rsid w:val="00585624"/>
    <w:rsid w:val="00585695"/>
    <w:rsid w:val="005856C2"/>
    <w:rsid w:val="00585742"/>
    <w:rsid w:val="0058599B"/>
    <w:rsid w:val="00585A5F"/>
    <w:rsid w:val="00585C43"/>
    <w:rsid w:val="00585CEA"/>
    <w:rsid w:val="0058615A"/>
    <w:rsid w:val="005863FB"/>
    <w:rsid w:val="0058656D"/>
    <w:rsid w:val="00586598"/>
    <w:rsid w:val="0058673C"/>
    <w:rsid w:val="00586769"/>
    <w:rsid w:val="00586CBC"/>
    <w:rsid w:val="00586DFF"/>
    <w:rsid w:val="00586E07"/>
    <w:rsid w:val="00587645"/>
    <w:rsid w:val="00587727"/>
    <w:rsid w:val="00587840"/>
    <w:rsid w:val="00587902"/>
    <w:rsid w:val="00587B4E"/>
    <w:rsid w:val="00587C59"/>
    <w:rsid w:val="00587E33"/>
    <w:rsid w:val="00587FF9"/>
    <w:rsid w:val="005901D5"/>
    <w:rsid w:val="00590269"/>
    <w:rsid w:val="005905CB"/>
    <w:rsid w:val="005906DC"/>
    <w:rsid w:val="00590781"/>
    <w:rsid w:val="00590CBB"/>
    <w:rsid w:val="00590E20"/>
    <w:rsid w:val="00590E37"/>
    <w:rsid w:val="00590ED7"/>
    <w:rsid w:val="0059149F"/>
    <w:rsid w:val="00591598"/>
    <w:rsid w:val="00591713"/>
    <w:rsid w:val="00591B47"/>
    <w:rsid w:val="00591CAF"/>
    <w:rsid w:val="00591D55"/>
    <w:rsid w:val="00591E0C"/>
    <w:rsid w:val="00591E99"/>
    <w:rsid w:val="00591F1C"/>
    <w:rsid w:val="00592256"/>
    <w:rsid w:val="005922A6"/>
    <w:rsid w:val="0059257E"/>
    <w:rsid w:val="0059282B"/>
    <w:rsid w:val="00592943"/>
    <w:rsid w:val="00592C42"/>
    <w:rsid w:val="00592D37"/>
    <w:rsid w:val="005930B1"/>
    <w:rsid w:val="00593286"/>
    <w:rsid w:val="005933FD"/>
    <w:rsid w:val="0059348D"/>
    <w:rsid w:val="005934F6"/>
    <w:rsid w:val="00593645"/>
    <w:rsid w:val="00593663"/>
    <w:rsid w:val="005936EB"/>
    <w:rsid w:val="0059383F"/>
    <w:rsid w:val="00593888"/>
    <w:rsid w:val="00593924"/>
    <w:rsid w:val="00593932"/>
    <w:rsid w:val="00593A97"/>
    <w:rsid w:val="00593DDD"/>
    <w:rsid w:val="0059445F"/>
    <w:rsid w:val="00594881"/>
    <w:rsid w:val="00594909"/>
    <w:rsid w:val="005949A0"/>
    <w:rsid w:val="00594A3D"/>
    <w:rsid w:val="00594B57"/>
    <w:rsid w:val="00594CAB"/>
    <w:rsid w:val="00595345"/>
    <w:rsid w:val="005957D0"/>
    <w:rsid w:val="005957F3"/>
    <w:rsid w:val="00595AE5"/>
    <w:rsid w:val="00595B65"/>
    <w:rsid w:val="00595E93"/>
    <w:rsid w:val="00595F1C"/>
    <w:rsid w:val="00596227"/>
    <w:rsid w:val="005968AA"/>
    <w:rsid w:val="00596AA2"/>
    <w:rsid w:val="00596BF0"/>
    <w:rsid w:val="00596E7C"/>
    <w:rsid w:val="00596F50"/>
    <w:rsid w:val="00597008"/>
    <w:rsid w:val="00597057"/>
    <w:rsid w:val="005972B9"/>
    <w:rsid w:val="00597383"/>
    <w:rsid w:val="005974A5"/>
    <w:rsid w:val="005974DE"/>
    <w:rsid w:val="005974F6"/>
    <w:rsid w:val="005979F5"/>
    <w:rsid w:val="00597AC8"/>
    <w:rsid w:val="00597D46"/>
    <w:rsid w:val="00597F77"/>
    <w:rsid w:val="005A02FE"/>
    <w:rsid w:val="005A02FF"/>
    <w:rsid w:val="005A07D1"/>
    <w:rsid w:val="005A0E9B"/>
    <w:rsid w:val="005A101C"/>
    <w:rsid w:val="005A10CA"/>
    <w:rsid w:val="005A10CF"/>
    <w:rsid w:val="005A111F"/>
    <w:rsid w:val="005A118E"/>
    <w:rsid w:val="005A15B1"/>
    <w:rsid w:val="005A180C"/>
    <w:rsid w:val="005A1AF1"/>
    <w:rsid w:val="005A1B6C"/>
    <w:rsid w:val="005A1BB0"/>
    <w:rsid w:val="005A1D61"/>
    <w:rsid w:val="005A1E63"/>
    <w:rsid w:val="005A1E71"/>
    <w:rsid w:val="005A220D"/>
    <w:rsid w:val="005A2748"/>
    <w:rsid w:val="005A278F"/>
    <w:rsid w:val="005A27CD"/>
    <w:rsid w:val="005A2876"/>
    <w:rsid w:val="005A29E3"/>
    <w:rsid w:val="005A2A49"/>
    <w:rsid w:val="005A2B10"/>
    <w:rsid w:val="005A2C0C"/>
    <w:rsid w:val="005A2D81"/>
    <w:rsid w:val="005A2DB5"/>
    <w:rsid w:val="005A2FDB"/>
    <w:rsid w:val="005A31C3"/>
    <w:rsid w:val="005A3209"/>
    <w:rsid w:val="005A3547"/>
    <w:rsid w:val="005A3789"/>
    <w:rsid w:val="005A3805"/>
    <w:rsid w:val="005A39FB"/>
    <w:rsid w:val="005A3A11"/>
    <w:rsid w:val="005A3BB4"/>
    <w:rsid w:val="005A3F94"/>
    <w:rsid w:val="005A400F"/>
    <w:rsid w:val="005A4404"/>
    <w:rsid w:val="005A443F"/>
    <w:rsid w:val="005A4789"/>
    <w:rsid w:val="005A4D20"/>
    <w:rsid w:val="005A5156"/>
    <w:rsid w:val="005A53A1"/>
    <w:rsid w:val="005A556A"/>
    <w:rsid w:val="005A56E1"/>
    <w:rsid w:val="005A6085"/>
    <w:rsid w:val="005A6352"/>
    <w:rsid w:val="005A6388"/>
    <w:rsid w:val="005A664B"/>
    <w:rsid w:val="005A67FE"/>
    <w:rsid w:val="005A6861"/>
    <w:rsid w:val="005A686F"/>
    <w:rsid w:val="005A697A"/>
    <w:rsid w:val="005A6A49"/>
    <w:rsid w:val="005A6A4F"/>
    <w:rsid w:val="005A6D54"/>
    <w:rsid w:val="005A6F97"/>
    <w:rsid w:val="005A712C"/>
    <w:rsid w:val="005A71AE"/>
    <w:rsid w:val="005A72E6"/>
    <w:rsid w:val="005A776B"/>
    <w:rsid w:val="005A786C"/>
    <w:rsid w:val="005A79D7"/>
    <w:rsid w:val="005A79DB"/>
    <w:rsid w:val="005A7F0B"/>
    <w:rsid w:val="005B0273"/>
    <w:rsid w:val="005B0355"/>
    <w:rsid w:val="005B04F7"/>
    <w:rsid w:val="005B07FD"/>
    <w:rsid w:val="005B0AAD"/>
    <w:rsid w:val="005B0E12"/>
    <w:rsid w:val="005B0FFC"/>
    <w:rsid w:val="005B10D3"/>
    <w:rsid w:val="005B10FD"/>
    <w:rsid w:val="005B1135"/>
    <w:rsid w:val="005B1208"/>
    <w:rsid w:val="005B1560"/>
    <w:rsid w:val="005B1718"/>
    <w:rsid w:val="005B1C41"/>
    <w:rsid w:val="005B20A2"/>
    <w:rsid w:val="005B2195"/>
    <w:rsid w:val="005B21C2"/>
    <w:rsid w:val="005B2804"/>
    <w:rsid w:val="005B2C65"/>
    <w:rsid w:val="005B2D11"/>
    <w:rsid w:val="005B2E14"/>
    <w:rsid w:val="005B348A"/>
    <w:rsid w:val="005B34AC"/>
    <w:rsid w:val="005B3506"/>
    <w:rsid w:val="005B35F2"/>
    <w:rsid w:val="005B3621"/>
    <w:rsid w:val="005B3AB6"/>
    <w:rsid w:val="005B3B19"/>
    <w:rsid w:val="005B3C16"/>
    <w:rsid w:val="005B3E4E"/>
    <w:rsid w:val="005B40B3"/>
    <w:rsid w:val="005B451A"/>
    <w:rsid w:val="005B45A2"/>
    <w:rsid w:val="005B4B3D"/>
    <w:rsid w:val="005B4B85"/>
    <w:rsid w:val="005B4C7B"/>
    <w:rsid w:val="005B51DD"/>
    <w:rsid w:val="005B577A"/>
    <w:rsid w:val="005B5BE4"/>
    <w:rsid w:val="005B5DFA"/>
    <w:rsid w:val="005B60A6"/>
    <w:rsid w:val="005B6391"/>
    <w:rsid w:val="005B6457"/>
    <w:rsid w:val="005B64B6"/>
    <w:rsid w:val="005B6CC3"/>
    <w:rsid w:val="005B6D0A"/>
    <w:rsid w:val="005B6DB9"/>
    <w:rsid w:val="005B6ED3"/>
    <w:rsid w:val="005B72A2"/>
    <w:rsid w:val="005B72F8"/>
    <w:rsid w:val="005B7310"/>
    <w:rsid w:val="005B73ED"/>
    <w:rsid w:val="005B7990"/>
    <w:rsid w:val="005B7A2C"/>
    <w:rsid w:val="005B7A98"/>
    <w:rsid w:val="005B7DDD"/>
    <w:rsid w:val="005B7DEC"/>
    <w:rsid w:val="005B7DFF"/>
    <w:rsid w:val="005C07AA"/>
    <w:rsid w:val="005C0864"/>
    <w:rsid w:val="005C11F3"/>
    <w:rsid w:val="005C1318"/>
    <w:rsid w:val="005C17B2"/>
    <w:rsid w:val="005C1999"/>
    <w:rsid w:val="005C1EBD"/>
    <w:rsid w:val="005C2074"/>
    <w:rsid w:val="005C20CF"/>
    <w:rsid w:val="005C254A"/>
    <w:rsid w:val="005C2A72"/>
    <w:rsid w:val="005C2BBF"/>
    <w:rsid w:val="005C2BFD"/>
    <w:rsid w:val="005C2C80"/>
    <w:rsid w:val="005C2DDA"/>
    <w:rsid w:val="005C2EF6"/>
    <w:rsid w:val="005C2EFF"/>
    <w:rsid w:val="005C2FF7"/>
    <w:rsid w:val="005C3141"/>
    <w:rsid w:val="005C3403"/>
    <w:rsid w:val="005C3620"/>
    <w:rsid w:val="005C388E"/>
    <w:rsid w:val="005C3BB7"/>
    <w:rsid w:val="005C3E30"/>
    <w:rsid w:val="005C403B"/>
    <w:rsid w:val="005C4072"/>
    <w:rsid w:val="005C4226"/>
    <w:rsid w:val="005C4763"/>
    <w:rsid w:val="005C4802"/>
    <w:rsid w:val="005C49A4"/>
    <w:rsid w:val="005C4C35"/>
    <w:rsid w:val="005C4CDC"/>
    <w:rsid w:val="005C4E00"/>
    <w:rsid w:val="005C4F22"/>
    <w:rsid w:val="005C4FB4"/>
    <w:rsid w:val="005C53B7"/>
    <w:rsid w:val="005C57F1"/>
    <w:rsid w:val="005C59DE"/>
    <w:rsid w:val="005C5AD2"/>
    <w:rsid w:val="005C5E50"/>
    <w:rsid w:val="005C60D3"/>
    <w:rsid w:val="005C63B8"/>
    <w:rsid w:val="005C6679"/>
    <w:rsid w:val="005C6885"/>
    <w:rsid w:val="005C6B32"/>
    <w:rsid w:val="005C6C4D"/>
    <w:rsid w:val="005C6C5E"/>
    <w:rsid w:val="005C6DE3"/>
    <w:rsid w:val="005C6DFC"/>
    <w:rsid w:val="005C717D"/>
    <w:rsid w:val="005C7359"/>
    <w:rsid w:val="005C741E"/>
    <w:rsid w:val="005C7588"/>
    <w:rsid w:val="005C777E"/>
    <w:rsid w:val="005C799F"/>
    <w:rsid w:val="005C7DC7"/>
    <w:rsid w:val="005C7FA6"/>
    <w:rsid w:val="005D014B"/>
    <w:rsid w:val="005D0235"/>
    <w:rsid w:val="005D0423"/>
    <w:rsid w:val="005D04BF"/>
    <w:rsid w:val="005D05B0"/>
    <w:rsid w:val="005D061C"/>
    <w:rsid w:val="005D063D"/>
    <w:rsid w:val="005D08A5"/>
    <w:rsid w:val="005D0B4A"/>
    <w:rsid w:val="005D0DD2"/>
    <w:rsid w:val="005D0E1D"/>
    <w:rsid w:val="005D1039"/>
    <w:rsid w:val="005D1138"/>
    <w:rsid w:val="005D116C"/>
    <w:rsid w:val="005D148B"/>
    <w:rsid w:val="005D169A"/>
    <w:rsid w:val="005D17B3"/>
    <w:rsid w:val="005D1EAB"/>
    <w:rsid w:val="005D2219"/>
    <w:rsid w:val="005D2498"/>
    <w:rsid w:val="005D2966"/>
    <w:rsid w:val="005D2D16"/>
    <w:rsid w:val="005D2E24"/>
    <w:rsid w:val="005D302A"/>
    <w:rsid w:val="005D3883"/>
    <w:rsid w:val="005D3912"/>
    <w:rsid w:val="005D3AE0"/>
    <w:rsid w:val="005D3CDD"/>
    <w:rsid w:val="005D3D00"/>
    <w:rsid w:val="005D3E4E"/>
    <w:rsid w:val="005D3EA0"/>
    <w:rsid w:val="005D3FEC"/>
    <w:rsid w:val="005D40AB"/>
    <w:rsid w:val="005D4244"/>
    <w:rsid w:val="005D42D6"/>
    <w:rsid w:val="005D431B"/>
    <w:rsid w:val="005D454B"/>
    <w:rsid w:val="005D46C1"/>
    <w:rsid w:val="005D4CDC"/>
    <w:rsid w:val="005D4E43"/>
    <w:rsid w:val="005D4E69"/>
    <w:rsid w:val="005D5009"/>
    <w:rsid w:val="005D52AE"/>
    <w:rsid w:val="005D5415"/>
    <w:rsid w:val="005D549E"/>
    <w:rsid w:val="005D5800"/>
    <w:rsid w:val="005D5B99"/>
    <w:rsid w:val="005D5ECB"/>
    <w:rsid w:val="005D60B8"/>
    <w:rsid w:val="005D6314"/>
    <w:rsid w:val="005D654F"/>
    <w:rsid w:val="005D6631"/>
    <w:rsid w:val="005D6EFC"/>
    <w:rsid w:val="005D6F24"/>
    <w:rsid w:val="005D6F56"/>
    <w:rsid w:val="005D7618"/>
    <w:rsid w:val="005D7759"/>
    <w:rsid w:val="005D77C1"/>
    <w:rsid w:val="005D7A30"/>
    <w:rsid w:val="005D7B1A"/>
    <w:rsid w:val="005D7D4F"/>
    <w:rsid w:val="005D7E45"/>
    <w:rsid w:val="005E009C"/>
    <w:rsid w:val="005E050A"/>
    <w:rsid w:val="005E0527"/>
    <w:rsid w:val="005E07C5"/>
    <w:rsid w:val="005E0A17"/>
    <w:rsid w:val="005E108C"/>
    <w:rsid w:val="005E1265"/>
    <w:rsid w:val="005E14CE"/>
    <w:rsid w:val="005E1590"/>
    <w:rsid w:val="005E166E"/>
    <w:rsid w:val="005E17AD"/>
    <w:rsid w:val="005E1830"/>
    <w:rsid w:val="005E18BC"/>
    <w:rsid w:val="005E1D74"/>
    <w:rsid w:val="005E20D9"/>
    <w:rsid w:val="005E2313"/>
    <w:rsid w:val="005E2416"/>
    <w:rsid w:val="005E2529"/>
    <w:rsid w:val="005E25C4"/>
    <w:rsid w:val="005E2702"/>
    <w:rsid w:val="005E2C2D"/>
    <w:rsid w:val="005E2E05"/>
    <w:rsid w:val="005E2EBB"/>
    <w:rsid w:val="005E2FE8"/>
    <w:rsid w:val="005E3124"/>
    <w:rsid w:val="005E33C3"/>
    <w:rsid w:val="005E3AED"/>
    <w:rsid w:val="005E3F53"/>
    <w:rsid w:val="005E404E"/>
    <w:rsid w:val="005E424C"/>
    <w:rsid w:val="005E4350"/>
    <w:rsid w:val="005E45E3"/>
    <w:rsid w:val="005E494F"/>
    <w:rsid w:val="005E4AA1"/>
    <w:rsid w:val="005E4C92"/>
    <w:rsid w:val="005E4CAD"/>
    <w:rsid w:val="005E4E11"/>
    <w:rsid w:val="005E4FDA"/>
    <w:rsid w:val="005E513A"/>
    <w:rsid w:val="005E55E4"/>
    <w:rsid w:val="005E5903"/>
    <w:rsid w:val="005E5973"/>
    <w:rsid w:val="005E602C"/>
    <w:rsid w:val="005E6099"/>
    <w:rsid w:val="005E6262"/>
    <w:rsid w:val="005E6381"/>
    <w:rsid w:val="005E6833"/>
    <w:rsid w:val="005E6A7A"/>
    <w:rsid w:val="005E6B8C"/>
    <w:rsid w:val="005E7441"/>
    <w:rsid w:val="005E77B5"/>
    <w:rsid w:val="005E7DEC"/>
    <w:rsid w:val="005F045F"/>
    <w:rsid w:val="005F05B0"/>
    <w:rsid w:val="005F0B72"/>
    <w:rsid w:val="005F0BDD"/>
    <w:rsid w:val="005F10AA"/>
    <w:rsid w:val="005F1318"/>
    <w:rsid w:val="005F1355"/>
    <w:rsid w:val="005F13BA"/>
    <w:rsid w:val="005F13C9"/>
    <w:rsid w:val="005F14C1"/>
    <w:rsid w:val="005F19CD"/>
    <w:rsid w:val="005F1C4A"/>
    <w:rsid w:val="005F1D42"/>
    <w:rsid w:val="005F1E2A"/>
    <w:rsid w:val="005F1E4F"/>
    <w:rsid w:val="005F1EC6"/>
    <w:rsid w:val="005F2594"/>
    <w:rsid w:val="005F2619"/>
    <w:rsid w:val="005F2A0E"/>
    <w:rsid w:val="005F2A2D"/>
    <w:rsid w:val="005F2B78"/>
    <w:rsid w:val="005F2CDC"/>
    <w:rsid w:val="005F2E1E"/>
    <w:rsid w:val="005F2F19"/>
    <w:rsid w:val="005F318F"/>
    <w:rsid w:val="005F3556"/>
    <w:rsid w:val="005F3617"/>
    <w:rsid w:val="005F3743"/>
    <w:rsid w:val="005F3B07"/>
    <w:rsid w:val="005F3D38"/>
    <w:rsid w:val="005F3F49"/>
    <w:rsid w:val="005F3F4C"/>
    <w:rsid w:val="005F4465"/>
    <w:rsid w:val="005F4795"/>
    <w:rsid w:val="005F496C"/>
    <w:rsid w:val="005F49DA"/>
    <w:rsid w:val="005F4CA6"/>
    <w:rsid w:val="005F4F12"/>
    <w:rsid w:val="005F52E6"/>
    <w:rsid w:val="005F5504"/>
    <w:rsid w:val="005F58EF"/>
    <w:rsid w:val="005F5970"/>
    <w:rsid w:val="005F59DF"/>
    <w:rsid w:val="005F5B29"/>
    <w:rsid w:val="005F5B39"/>
    <w:rsid w:val="005F5BF1"/>
    <w:rsid w:val="005F5C27"/>
    <w:rsid w:val="005F5D83"/>
    <w:rsid w:val="005F66EC"/>
    <w:rsid w:val="005F68D6"/>
    <w:rsid w:val="005F6AEC"/>
    <w:rsid w:val="005F6B24"/>
    <w:rsid w:val="005F6E54"/>
    <w:rsid w:val="005F6F23"/>
    <w:rsid w:val="005F7177"/>
    <w:rsid w:val="005F733F"/>
    <w:rsid w:val="005F7714"/>
    <w:rsid w:val="005F7850"/>
    <w:rsid w:val="005F7AE8"/>
    <w:rsid w:val="005F7C40"/>
    <w:rsid w:val="00600139"/>
    <w:rsid w:val="00600421"/>
    <w:rsid w:val="00600494"/>
    <w:rsid w:val="0060050D"/>
    <w:rsid w:val="0060078E"/>
    <w:rsid w:val="00600FBC"/>
    <w:rsid w:val="00601399"/>
    <w:rsid w:val="006014CD"/>
    <w:rsid w:val="0060155D"/>
    <w:rsid w:val="006018E5"/>
    <w:rsid w:val="00601C29"/>
    <w:rsid w:val="00601EF8"/>
    <w:rsid w:val="006020BF"/>
    <w:rsid w:val="00602B6D"/>
    <w:rsid w:val="00602B87"/>
    <w:rsid w:val="00602B8B"/>
    <w:rsid w:val="00602C1A"/>
    <w:rsid w:val="00602EE1"/>
    <w:rsid w:val="00603427"/>
    <w:rsid w:val="00603547"/>
    <w:rsid w:val="00603F9E"/>
    <w:rsid w:val="006041DE"/>
    <w:rsid w:val="00604623"/>
    <w:rsid w:val="00604900"/>
    <w:rsid w:val="00604958"/>
    <w:rsid w:val="00604AA8"/>
    <w:rsid w:val="00604BA7"/>
    <w:rsid w:val="00604C7E"/>
    <w:rsid w:val="00604E9A"/>
    <w:rsid w:val="00605232"/>
    <w:rsid w:val="0060577D"/>
    <w:rsid w:val="00605987"/>
    <w:rsid w:val="00605AA8"/>
    <w:rsid w:val="00605C06"/>
    <w:rsid w:val="00605DB5"/>
    <w:rsid w:val="00605F45"/>
    <w:rsid w:val="006060D1"/>
    <w:rsid w:val="0060639B"/>
    <w:rsid w:val="006064A2"/>
    <w:rsid w:val="006064CF"/>
    <w:rsid w:val="00606548"/>
    <w:rsid w:val="006066CB"/>
    <w:rsid w:val="00606801"/>
    <w:rsid w:val="0060696B"/>
    <w:rsid w:val="00606B3A"/>
    <w:rsid w:val="00606D54"/>
    <w:rsid w:val="00606E13"/>
    <w:rsid w:val="00606E36"/>
    <w:rsid w:val="00607159"/>
    <w:rsid w:val="0060734F"/>
    <w:rsid w:val="00607483"/>
    <w:rsid w:val="006074A5"/>
    <w:rsid w:val="006075E7"/>
    <w:rsid w:val="00607637"/>
    <w:rsid w:val="00607BE1"/>
    <w:rsid w:val="00607BFF"/>
    <w:rsid w:val="00607E7F"/>
    <w:rsid w:val="006101E0"/>
    <w:rsid w:val="00610404"/>
    <w:rsid w:val="00610660"/>
    <w:rsid w:val="006107E4"/>
    <w:rsid w:val="0061084C"/>
    <w:rsid w:val="00610858"/>
    <w:rsid w:val="00610891"/>
    <w:rsid w:val="00610A1F"/>
    <w:rsid w:val="00610BBA"/>
    <w:rsid w:val="00610CA0"/>
    <w:rsid w:val="00610CCB"/>
    <w:rsid w:val="00610CD4"/>
    <w:rsid w:val="00610DE0"/>
    <w:rsid w:val="006110A6"/>
    <w:rsid w:val="006116D5"/>
    <w:rsid w:val="0061184A"/>
    <w:rsid w:val="00611B9F"/>
    <w:rsid w:val="00611EAA"/>
    <w:rsid w:val="00611F8E"/>
    <w:rsid w:val="00612371"/>
    <w:rsid w:val="006124A3"/>
    <w:rsid w:val="00612985"/>
    <w:rsid w:val="00612A17"/>
    <w:rsid w:val="00612C11"/>
    <w:rsid w:val="00612CE4"/>
    <w:rsid w:val="0061339D"/>
    <w:rsid w:val="00613528"/>
    <w:rsid w:val="006135C2"/>
    <w:rsid w:val="00613690"/>
    <w:rsid w:val="00613B85"/>
    <w:rsid w:val="00613D43"/>
    <w:rsid w:val="00613DA1"/>
    <w:rsid w:val="006142D3"/>
    <w:rsid w:val="006143F7"/>
    <w:rsid w:val="006144C6"/>
    <w:rsid w:val="0061460E"/>
    <w:rsid w:val="0061461C"/>
    <w:rsid w:val="006146E9"/>
    <w:rsid w:val="00614804"/>
    <w:rsid w:val="00614CE8"/>
    <w:rsid w:val="00614D8F"/>
    <w:rsid w:val="00614FFE"/>
    <w:rsid w:val="00615263"/>
    <w:rsid w:val="0061526F"/>
    <w:rsid w:val="00615786"/>
    <w:rsid w:val="006157B4"/>
    <w:rsid w:val="0061585F"/>
    <w:rsid w:val="006159D5"/>
    <w:rsid w:val="00615B30"/>
    <w:rsid w:val="00615C57"/>
    <w:rsid w:val="00616095"/>
    <w:rsid w:val="006160E3"/>
    <w:rsid w:val="006162E4"/>
    <w:rsid w:val="0061648E"/>
    <w:rsid w:val="00616579"/>
    <w:rsid w:val="0061670C"/>
    <w:rsid w:val="00616B89"/>
    <w:rsid w:val="00616FA4"/>
    <w:rsid w:val="00616FCD"/>
    <w:rsid w:val="00616FD6"/>
    <w:rsid w:val="0061728D"/>
    <w:rsid w:val="006177F8"/>
    <w:rsid w:val="0061780E"/>
    <w:rsid w:val="00617964"/>
    <w:rsid w:val="00620072"/>
    <w:rsid w:val="00620075"/>
    <w:rsid w:val="00620359"/>
    <w:rsid w:val="00620419"/>
    <w:rsid w:val="006204BB"/>
    <w:rsid w:val="0062053A"/>
    <w:rsid w:val="006206A1"/>
    <w:rsid w:val="006208F1"/>
    <w:rsid w:val="006209BB"/>
    <w:rsid w:val="00620BA1"/>
    <w:rsid w:val="00620E19"/>
    <w:rsid w:val="00621142"/>
    <w:rsid w:val="00621336"/>
    <w:rsid w:val="0062135A"/>
    <w:rsid w:val="00621575"/>
    <w:rsid w:val="006215DA"/>
    <w:rsid w:val="00621636"/>
    <w:rsid w:val="006217B7"/>
    <w:rsid w:val="006217C5"/>
    <w:rsid w:val="00621921"/>
    <w:rsid w:val="00621A0E"/>
    <w:rsid w:val="00621E60"/>
    <w:rsid w:val="00622245"/>
    <w:rsid w:val="006224A3"/>
    <w:rsid w:val="0062284D"/>
    <w:rsid w:val="00622A64"/>
    <w:rsid w:val="00622D49"/>
    <w:rsid w:val="006233A8"/>
    <w:rsid w:val="006238BD"/>
    <w:rsid w:val="00623D24"/>
    <w:rsid w:val="00623FFA"/>
    <w:rsid w:val="0062412E"/>
    <w:rsid w:val="006241FF"/>
    <w:rsid w:val="006244E2"/>
    <w:rsid w:val="006244FF"/>
    <w:rsid w:val="00624891"/>
    <w:rsid w:val="00624A94"/>
    <w:rsid w:val="00624B61"/>
    <w:rsid w:val="00625350"/>
    <w:rsid w:val="006253C0"/>
    <w:rsid w:val="006253CC"/>
    <w:rsid w:val="0062563D"/>
    <w:rsid w:val="006257AC"/>
    <w:rsid w:val="006257C2"/>
    <w:rsid w:val="00625920"/>
    <w:rsid w:val="006265BA"/>
    <w:rsid w:val="006267CE"/>
    <w:rsid w:val="0062681F"/>
    <w:rsid w:val="0062683C"/>
    <w:rsid w:val="00626F75"/>
    <w:rsid w:val="00626FB5"/>
    <w:rsid w:val="00627088"/>
    <w:rsid w:val="00627395"/>
    <w:rsid w:val="006274C7"/>
    <w:rsid w:val="00627791"/>
    <w:rsid w:val="006277BA"/>
    <w:rsid w:val="0062796B"/>
    <w:rsid w:val="00627BD4"/>
    <w:rsid w:val="00627DDD"/>
    <w:rsid w:val="00627E6B"/>
    <w:rsid w:val="006301EC"/>
    <w:rsid w:val="00630348"/>
    <w:rsid w:val="006303FE"/>
    <w:rsid w:val="00630411"/>
    <w:rsid w:val="006305AA"/>
    <w:rsid w:val="00630604"/>
    <w:rsid w:val="0063063D"/>
    <w:rsid w:val="0063082D"/>
    <w:rsid w:val="00631211"/>
    <w:rsid w:val="0063158D"/>
    <w:rsid w:val="00631731"/>
    <w:rsid w:val="00631F25"/>
    <w:rsid w:val="00631FE6"/>
    <w:rsid w:val="0063204F"/>
    <w:rsid w:val="006325DE"/>
    <w:rsid w:val="00632880"/>
    <w:rsid w:val="00632B67"/>
    <w:rsid w:val="00632BD7"/>
    <w:rsid w:val="00632BED"/>
    <w:rsid w:val="00632D9E"/>
    <w:rsid w:val="006330A4"/>
    <w:rsid w:val="006332D7"/>
    <w:rsid w:val="00633390"/>
    <w:rsid w:val="0063358E"/>
    <w:rsid w:val="00633848"/>
    <w:rsid w:val="0063393C"/>
    <w:rsid w:val="006343AA"/>
    <w:rsid w:val="006344EE"/>
    <w:rsid w:val="00634566"/>
    <w:rsid w:val="00634A23"/>
    <w:rsid w:val="00634A5A"/>
    <w:rsid w:val="00634B83"/>
    <w:rsid w:val="00634E2C"/>
    <w:rsid w:val="00635107"/>
    <w:rsid w:val="00635CB8"/>
    <w:rsid w:val="00635DB6"/>
    <w:rsid w:val="00636036"/>
    <w:rsid w:val="0063646C"/>
    <w:rsid w:val="00636562"/>
    <w:rsid w:val="00636ABD"/>
    <w:rsid w:val="00636BC7"/>
    <w:rsid w:val="00636FDD"/>
    <w:rsid w:val="00637718"/>
    <w:rsid w:val="0063777B"/>
    <w:rsid w:val="00637852"/>
    <w:rsid w:val="00637927"/>
    <w:rsid w:val="006401C2"/>
    <w:rsid w:val="0064021A"/>
    <w:rsid w:val="00640321"/>
    <w:rsid w:val="006407C6"/>
    <w:rsid w:val="00640C3F"/>
    <w:rsid w:val="00640F07"/>
    <w:rsid w:val="00641394"/>
    <w:rsid w:val="006417DC"/>
    <w:rsid w:val="0064187F"/>
    <w:rsid w:val="00641932"/>
    <w:rsid w:val="00641A11"/>
    <w:rsid w:val="00641A83"/>
    <w:rsid w:val="00641CE5"/>
    <w:rsid w:val="00641DFC"/>
    <w:rsid w:val="0064200D"/>
    <w:rsid w:val="00642043"/>
    <w:rsid w:val="00642292"/>
    <w:rsid w:val="006423D6"/>
    <w:rsid w:val="006425C7"/>
    <w:rsid w:val="006425F4"/>
    <w:rsid w:val="00642731"/>
    <w:rsid w:val="0064291C"/>
    <w:rsid w:val="00642935"/>
    <w:rsid w:val="00642CC7"/>
    <w:rsid w:val="0064314A"/>
    <w:rsid w:val="00643180"/>
    <w:rsid w:val="006435F4"/>
    <w:rsid w:val="00643757"/>
    <w:rsid w:val="00643A08"/>
    <w:rsid w:val="00643A3C"/>
    <w:rsid w:val="00643E73"/>
    <w:rsid w:val="006443FB"/>
    <w:rsid w:val="00644A52"/>
    <w:rsid w:val="00644A5C"/>
    <w:rsid w:val="00645056"/>
    <w:rsid w:val="00645179"/>
    <w:rsid w:val="006453F6"/>
    <w:rsid w:val="00645E95"/>
    <w:rsid w:val="0064636D"/>
    <w:rsid w:val="0064642D"/>
    <w:rsid w:val="0064662C"/>
    <w:rsid w:val="00646A9E"/>
    <w:rsid w:val="00646CE9"/>
    <w:rsid w:val="0064748A"/>
    <w:rsid w:val="00647B38"/>
    <w:rsid w:val="00647C91"/>
    <w:rsid w:val="00647DAB"/>
    <w:rsid w:val="00647F53"/>
    <w:rsid w:val="00650105"/>
    <w:rsid w:val="0065039A"/>
    <w:rsid w:val="006505B0"/>
    <w:rsid w:val="006506FB"/>
    <w:rsid w:val="00650848"/>
    <w:rsid w:val="00650B35"/>
    <w:rsid w:val="00650B53"/>
    <w:rsid w:val="00650E13"/>
    <w:rsid w:val="00650EA8"/>
    <w:rsid w:val="006511A9"/>
    <w:rsid w:val="006514C7"/>
    <w:rsid w:val="00651560"/>
    <w:rsid w:val="00651782"/>
    <w:rsid w:val="00651845"/>
    <w:rsid w:val="00651DD8"/>
    <w:rsid w:val="00651DDC"/>
    <w:rsid w:val="00651DE3"/>
    <w:rsid w:val="00652564"/>
    <w:rsid w:val="0065276F"/>
    <w:rsid w:val="00652B04"/>
    <w:rsid w:val="00652CB3"/>
    <w:rsid w:val="00653396"/>
    <w:rsid w:val="006534CB"/>
    <w:rsid w:val="00653A2E"/>
    <w:rsid w:val="00653A45"/>
    <w:rsid w:val="00653A8C"/>
    <w:rsid w:val="00653B88"/>
    <w:rsid w:val="00653BA7"/>
    <w:rsid w:val="00653BBD"/>
    <w:rsid w:val="00653F8F"/>
    <w:rsid w:val="0065431B"/>
    <w:rsid w:val="006543F8"/>
    <w:rsid w:val="006545CC"/>
    <w:rsid w:val="0065466D"/>
    <w:rsid w:val="00654697"/>
    <w:rsid w:val="00654A6D"/>
    <w:rsid w:val="00654BC6"/>
    <w:rsid w:val="00654D7F"/>
    <w:rsid w:val="00655503"/>
    <w:rsid w:val="00655724"/>
    <w:rsid w:val="00655AFC"/>
    <w:rsid w:val="00655E5E"/>
    <w:rsid w:val="00655F94"/>
    <w:rsid w:val="00655FCE"/>
    <w:rsid w:val="006565D2"/>
    <w:rsid w:val="0065677B"/>
    <w:rsid w:val="00656B94"/>
    <w:rsid w:val="00656D41"/>
    <w:rsid w:val="00656D8A"/>
    <w:rsid w:val="00656EFD"/>
    <w:rsid w:val="0065702C"/>
    <w:rsid w:val="0065759A"/>
    <w:rsid w:val="006577A5"/>
    <w:rsid w:val="006579C7"/>
    <w:rsid w:val="006579E8"/>
    <w:rsid w:val="00657ADE"/>
    <w:rsid w:val="00657EFA"/>
    <w:rsid w:val="00657FB6"/>
    <w:rsid w:val="0066008A"/>
    <w:rsid w:val="00660146"/>
    <w:rsid w:val="00660217"/>
    <w:rsid w:val="00660282"/>
    <w:rsid w:val="00660527"/>
    <w:rsid w:val="0066063B"/>
    <w:rsid w:val="006607B7"/>
    <w:rsid w:val="00660ABF"/>
    <w:rsid w:val="00660BF6"/>
    <w:rsid w:val="00660F71"/>
    <w:rsid w:val="006610B5"/>
    <w:rsid w:val="0066111B"/>
    <w:rsid w:val="006617BD"/>
    <w:rsid w:val="006618DF"/>
    <w:rsid w:val="0066197F"/>
    <w:rsid w:val="00661C5B"/>
    <w:rsid w:val="00661CB0"/>
    <w:rsid w:val="00661E02"/>
    <w:rsid w:val="00661F47"/>
    <w:rsid w:val="00662124"/>
    <w:rsid w:val="00662177"/>
    <w:rsid w:val="00662329"/>
    <w:rsid w:val="006628C1"/>
    <w:rsid w:val="006629FA"/>
    <w:rsid w:val="00662D9E"/>
    <w:rsid w:val="0066305A"/>
    <w:rsid w:val="006630E1"/>
    <w:rsid w:val="00663362"/>
    <w:rsid w:val="006634BB"/>
    <w:rsid w:val="006635FD"/>
    <w:rsid w:val="0066373B"/>
    <w:rsid w:val="0066376A"/>
    <w:rsid w:val="00663774"/>
    <w:rsid w:val="00663870"/>
    <w:rsid w:val="00663974"/>
    <w:rsid w:val="006639DA"/>
    <w:rsid w:val="00663B30"/>
    <w:rsid w:val="00663BA8"/>
    <w:rsid w:val="00663EE1"/>
    <w:rsid w:val="00664118"/>
    <w:rsid w:val="006643B6"/>
    <w:rsid w:val="00664712"/>
    <w:rsid w:val="0066480B"/>
    <w:rsid w:val="006648B4"/>
    <w:rsid w:val="006648F5"/>
    <w:rsid w:val="006649A4"/>
    <w:rsid w:val="00664ACB"/>
    <w:rsid w:val="00664B74"/>
    <w:rsid w:val="00664DD5"/>
    <w:rsid w:val="0066505C"/>
    <w:rsid w:val="00665160"/>
    <w:rsid w:val="00665224"/>
    <w:rsid w:val="0066539D"/>
    <w:rsid w:val="006653EE"/>
    <w:rsid w:val="006658FA"/>
    <w:rsid w:val="00666311"/>
    <w:rsid w:val="006664FB"/>
    <w:rsid w:val="00666542"/>
    <w:rsid w:val="006669D0"/>
    <w:rsid w:val="00667062"/>
    <w:rsid w:val="00667107"/>
    <w:rsid w:val="0066764C"/>
    <w:rsid w:val="0067049E"/>
    <w:rsid w:val="00670649"/>
    <w:rsid w:val="00670785"/>
    <w:rsid w:val="00670825"/>
    <w:rsid w:val="0067087A"/>
    <w:rsid w:val="0067139F"/>
    <w:rsid w:val="006716E8"/>
    <w:rsid w:val="0067190A"/>
    <w:rsid w:val="006719A0"/>
    <w:rsid w:val="00671A5B"/>
    <w:rsid w:val="00671D03"/>
    <w:rsid w:val="00671E31"/>
    <w:rsid w:val="0067201D"/>
    <w:rsid w:val="00672073"/>
    <w:rsid w:val="0067253A"/>
    <w:rsid w:val="00672645"/>
    <w:rsid w:val="006730F5"/>
    <w:rsid w:val="0067311E"/>
    <w:rsid w:val="006731A8"/>
    <w:rsid w:val="006732EB"/>
    <w:rsid w:val="00673897"/>
    <w:rsid w:val="006740EC"/>
    <w:rsid w:val="006742FC"/>
    <w:rsid w:val="00674484"/>
    <w:rsid w:val="00674515"/>
    <w:rsid w:val="00674530"/>
    <w:rsid w:val="00674583"/>
    <w:rsid w:val="00674BB4"/>
    <w:rsid w:val="00674F45"/>
    <w:rsid w:val="00675A85"/>
    <w:rsid w:val="00675AFF"/>
    <w:rsid w:val="00675C0D"/>
    <w:rsid w:val="00675CE3"/>
    <w:rsid w:val="00675D53"/>
    <w:rsid w:val="00675F25"/>
    <w:rsid w:val="006760C8"/>
    <w:rsid w:val="0067621A"/>
    <w:rsid w:val="006763DF"/>
    <w:rsid w:val="006769FD"/>
    <w:rsid w:val="00676CAD"/>
    <w:rsid w:val="00676E21"/>
    <w:rsid w:val="006771BB"/>
    <w:rsid w:val="0067724E"/>
    <w:rsid w:val="0067751B"/>
    <w:rsid w:val="00677789"/>
    <w:rsid w:val="00677832"/>
    <w:rsid w:val="00677B6D"/>
    <w:rsid w:val="00677D64"/>
    <w:rsid w:val="00677E09"/>
    <w:rsid w:val="00680183"/>
    <w:rsid w:val="006802F3"/>
    <w:rsid w:val="00680310"/>
    <w:rsid w:val="006804C4"/>
    <w:rsid w:val="0068076C"/>
    <w:rsid w:val="006808E0"/>
    <w:rsid w:val="00680A7B"/>
    <w:rsid w:val="00680B39"/>
    <w:rsid w:val="00680E4A"/>
    <w:rsid w:val="00680F1E"/>
    <w:rsid w:val="00680FE7"/>
    <w:rsid w:val="00681128"/>
    <w:rsid w:val="00681484"/>
    <w:rsid w:val="006814D5"/>
    <w:rsid w:val="006814F3"/>
    <w:rsid w:val="006816E6"/>
    <w:rsid w:val="0068189E"/>
    <w:rsid w:val="00681AB1"/>
    <w:rsid w:val="00681E5F"/>
    <w:rsid w:val="00682653"/>
    <w:rsid w:val="00682689"/>
    <w:rsid w:val="00682943"/>
    <w:rsid w:val="00682A58"/>
    <w:rsid w:val="00682AF8"/>
    <w:rsid w:val="00682B2E"/>
    <w:rsid w:val="00682D15"/>
    <w:rsid w:val="00682E5F"/>
    <w:rsid w:val="00682F3B"/>
    <w:rsid w:val="00683012"/>
    <w:rsid w:val="0068325D"/>
    <w:rsid w:val="006832F4"/>
    <w:rsid w:val="006834AB"/>
    <w:rsid w:val="00683A11"/>
    <w:rsid w:val="00683A24"/>
    <w:rsid w:val="00683D18"/>
    <w:rsid w:val="00683D45"/>
    <w:rsid w:val="00683DF4"/>
    <w:rsid w:val="00683EDD"/>
    <w:rsid w:val="00683F3B"/>
    <w:rsid w:val="00684070"/>
    <w:rsid w:val="00684093"/>
    <w:rsid w:val="00684A35"/>
    <w:rsid w:val="00684F61"/>
    <w:rsid w:val="00685171"/>
    <w:rsid w:val="00685390"/>
    <w:rsid w:val="00685448"/>
    <w:rsid w:val="00685545"/>
    <w:rsid w:val="00685703"/>
    <w:rsid w:val="00685A46"/>
    <w:rsid w:val="00685A67"/>
    <w:rsid w:val="00685BE4"/>
    <w:rsid w:val="00685D7C"/>
    <w:rsid w:val="00685DD7"/>
    <w:rsid w:val="00685FBB"/>
    <w:rsid w:val="00686398"/>
    <w:rsid w:val="00686680"/>
    <w:rsid w:val="00686827"/>
    <w:rsid w:val="0068682C"/>
    <w:rsid w:val="00686839"/>
    <w:rsid w:val="00686964"/>
    <w:rsid w:val="00686A74"/>
    <w:rsid w:val="00686ACC"/>
    <w:rsid w:val="00686D83"/>
    <w:rsid w:val="00686DCB"/>
    <w:rsid w:val="00686EFB"/>
    <w:rsid w:val="00687EC3"/>
    <w:rsid w:val="00690205"/>
    <w:rsid w:val="0069028E"/>
    <w:rsid w:val="00690582"/>
    <w:rsid w:val="006906D4"/>
    <w:rsid w:val="0069083A"/>
    <w:rsid w:val="00690D2E"/>
    <w:rsid w:val="00691011"/>
    <w:rsid w:val="0069101B"/>
    <w:rsid w:val="0069146B"/>
    <w:rsid w:val="006915DD"/>
    <w:rsid w:val="0069165C"/>
    <w:rsid w:val="006926B5"/>
    <w:rsid w:val="00692841"/>
    <w:rsid w:val="00692E81"/>
    <w:rsid w:val="0069324B"/>
    <w:rsid w:val="006934BD"/>
    <w:rsid w:val="00693667"/>
    <w:rsid w:val="00693A4A"/>
    <w:rsid w:val="00693AC7"/>
    <w:rsid w:val="00693FC5"/>
    <w:rsid w:val="00694214"/>
    <w:rsid w:val="006943FB"/>
    <w:rsid w:val="006947E8"/>
    <w:rsid w:val="00694B39"/>
    <w:rsid w:val="00694C67"/>
    <w:rsid w:val="006952B8"/>
    <w:rsid w:val="006952F4"/>
    <w:rsid w:val="0069535F"/>
    <w:rsid w:val="00695406"/>
    <w:rsid w:val="006958A2"/>
    <w:rsid w:val="00695D0E"/>
    <w:rsid w:val="00695DEC"/>
    <w:rsid w:val="006961A8"/>
    <w:rsid w:val="006961AB"/>
    <w:rsid w:val="00696710"/>
    <w:rsid w:val="006968E4"/>
    <w:rsid w:val="00697038"/>
    <w:rsid w:val="0069704B"/>
    <w:rsid w:val="0069704E"/>
    <w:rsid w:val="0069735E"/>
    <w:rsid w:val="0069735F"/>
    <w:rsid w:val="0069750D"/>
    <w:rsid w:val="00697563"/>
    <w:rsid w:val="0069781D"/>
    <w:rsid w:val="00697996"/>
    <w:rsid w:val="006A00CD"/>
    <w:rsid w:val="006A01EF"/>
    <w:rsid w:val="006A0334"/>
    <w:rsid w:val="006A040C"/>
    <w:rsid w:val="006A06C1"/>
    <w:rsid w:val="006A0710"/>
    <w:rsid w:val="006A07A0"/>
    <w:rsid w:val="006A09AB"/>
    <w:rsid w:val="006A2148"/>
    <w:rsid w:val="006A22E4"/>
    <w:rsid w:val="006A2499"/>
    <w:rsid w:val="006A277F"/>
    <w:rsid w:val="006A27C0"/>
    <w:rsid w:val="006A2D41"/>
    <w:rsid w:val="006A303C"/>
    <w:rsid w:val="006A309F"/>
    <w:rsid w:val="006A31DC"/>
    <w:rsid w:val="006A3204"/>
    <w:rsid w:val="006A33F3"/>
    <w:rsid w:val="006A345A"/>
    <w:rsid w:val="006A427E"/>
    <w:rsid w:val="006A4422"/>
    <w:rsid w:val="006A4536"/>
    <w:rsid w:val="006A4623"/>
    <w:rsid w:val="006A478F"/>
    <w:rsid w:val="006A48EF"/>
    <w:rsid w:val="006A491C"/>
    <w:rsid w:val="006A494B"/>
    <w:rsid w:val="006A4F2E"/>
    <w:rsid w:val="006A4F79"/>
    <w:rsid w:val="006A522E"/>
    <w:rsid w:val="006A5BD8"/>
    <w:rsid w:val="006A5C6D"/>
    <w:rsid w:val="006A5C9F"/>
    <w:rsid w:val="006A6871"/>
    <w:rsid w:val="006A68ED"/>
    <w:rsid w:val="006A69BA"/>
    <w:rsid w:val="006A6A19"/>
    <w:rsid w:val="006A6AA5"/>
    <w:rsid w:val="006A6CC7"/>
    <w:rsid w:val="006A6CEB"/>
    <w:rsid w:val="006A7108"/>
    <w:rsid w:val="006A722B"/>
    <w:rsid w:val="006A79C3"/>
    <w:rsid w:val="006A7D33"/>
    <w:rsid w:val="006A7D4E"/>
    <w:rsid w:val="006A7F66"/>
    <w:rsid w:val="006B0038"/>
    <w:rsid w:val="006B00BF"/>
    <w:rsid w:val="006B0128"/>
    <w:rsid w:val="006B039C"/>
    <w:rsid w:val="006B04C1"/>
    <w:rsid w:val="006B0638"/>
    <w:rsid w:val="006B1099"/>
    <w:rsid w:val="006B1A30"/>
    <w:rsid w:val="006B1AB0"/>
    <w:rsid w:val="006B1AF7"/>
    <w:rsid w:val="006B1B37"/>
    <w:rsid w:val="006B1FFF"/>
    <w:rsid w:val="006B2087"/>
    <w:rsid w:val="006B23C7"/>
    <w:rsid w:val="006B2869"/>
    <w:rsid w:val="006B29E6"/>
    <w:rsid w:val="006B2C40"/>
    <w:rsid w:val="006B2D8C"/>
    <w:rsid w:val="006B2DCC"/>
    <w:rsid w:val="006B2DD8"/>
    <w:rsid w:val="006B2E69"/>
    <w:rsid w:val="006B2E71"/>
    <w:rsid w:val="006B3253"/>
    <w:rsid w:val="006B32B9"/>
    <w:rsid w:val="006B364D"/>
    <w:rsid w:val="006B371A"/>
    <w:rsid w:val="006B3829"/>
    <w:rsid w:val="006B3F41"/>
    <w:rsid w:val="006B3F7C"/>
    <w:rsid w:val="006B3F89"/>
    <w:rsid w:val="006B4312"/>
    <w:rsid w:val="006B43FC"/>
    <w:rsid w:val="006B45A3"/>
    <w:rsid w:val="006B4615"/>
    <w:rsid w:val="006B4835"/>
    <w:rsid w:val="006B4A0F"/>
    <w:rsid w:val="006B556D"/>
    <w:rsid w:val="006B5868"/>
    <w:rsid w:val="006B5D0E"/>
    <w:rsid w:val="006B5E81"/>
    <w:rsid w:val="006B5F06"/>
    <w:rsid w:val="006B6161"/>
    <w:rsid w:val="006B62EE"/>
    <w:rsid w:val="006B6891"/>
    <w:rsid w:val="006B6A2C"/>
    <w:rsid w:val="006B6CD5"/>
    <w:rsid w:val="006B6D63"/>
    <w:rsid w:val="006B6F5D"/>
    <w:rsid w:val="006B6F6C"/>
    <w:rsid w:val="006B7226"/>
    <w:rsid w:val="006B74F1"/>
    <w:rsid w:val="006B7667"/>
    <w:rsid w:val="006B7EE8"/>
    <w:rsid w:val="006C04DF"/>
    <w:rsid w:val="006C0703"/>
    <w:rsid w:val="006C1060"/>
    <w:rsid w:val="006C111B"/>
    <w:rsid w:val="006C1314"/>
    <w:rsid w:val="006C1554"/>
    <w:rsid w:val="006C197D"/>
    <w:rsid w:val="006C1BDB"/>
    <w:rsid w:val="006C1C0C"/>
    <w:rsid w:val="006C1F72"/>
    <w:rsid w:val="006C1FA1"/>
    <w:rsid w:val="006C2013"/>
    <w:rsid w:val="006C20C8"/>
    <w:rsid w:val="006C288A"/>
    <w:rsid w:val="006C2D0C"/>
    <w:rsid w:val="006C30B8"/>
    <w:rsid w:val="006C31C4"/>
    <w:rsid w:val="006C320F"/>
    <w:rsid w:val="006C3392"/>
    <w:rsid w:val="006C345A"/>
    <w:rsid w:val="006C35E1"/>
    <w:rsid w:val="006C35F4"/>
    <w:rsid w:val="006C3664"/>
    <w:rsid w:val="006C3956"/>
    <w:rsid w:val="006C39D1"/>
    <w:rsid w:val="006C3A1D"/>
    <w:rsid w:val="006C3E9D"/>
    <w:rsid w:val="006C3F1B"/>
    <w:rsid w:val="006C3FB9"/>
    <w:rsid w:val="006C422E"/>
    <w:rsid w:val="006C441A"/>
    <w:rsid w:val="006C4B11"/>
    <w:rsid w:val="006C4D97"/>
    <w:rsid w:val="006C4F79"/>
    <w:rsid w:val="006C51B8"/>
    <w:rsid w:val="006C52FE"/>
    <w:rsid w:val="006C53BC"/>
    <w:rsid w:val="006C556E"/>
    <w:rsid w:val="006C5C3E"/>
    <w:rsid w:val="006C5D1F"/>
    <w:rsid w:val="006C5E53"/>
    <w:rsid w:val="006C61E7"/>
    <w:rsid w:val="006C6306"/>
    <w:rsid w:val="006C6307"/>
    <w:rsid w:val="006C66D6"/>
    <w:rsid w:val="006C73EF"/>
    <w:rsid w:val="006C75EC"/>
    <w:rsid w:val="006C76B2"/>
    <w:rsid w:val="006C770C"/>
    <w:rsid w:val="006C7C37"/>
    <w:rsid w:val="006C7C70"/>
    <w:rsid w:val="006C7F4A"/>
    <w:rsid w:val="006D011C"/>
    <w:rsid w:val="006D0391"/>
    <w:rsid w:val="006D0C7D"/>
    <w:rsid w:val="006D0D9B"/>
    <w:rsid w:val="006D0E67"/>
    <w:rsid w:val="006D0F33"/>
    <w:rsid w:val="006D171F"/>
    <w:rsid w:val="006D173C"/>
    <w:rsid w:val="006D19FC"/>
    <w:rsid w:val="006D1B45"/>
    <w:rsid w:val="006D1B78"/>
    <w:rsid w:val="006D20A4"/>
    <w:rsid w:val="006D2438"/>
    <w:rsid w:val="006D2643"/>
    <w:rsid w:val="006D2972"/>
    <w:rsid w:val="006D3317"/>
    <w:rsid w:val="006D379B"/>
    <w:rsid w:val="006D37E4"/>
    <w:rsid w:val="006D39C2"/>
    <w:rsid w:val="006D3A82"/>
    <w:rsid w:val="006D3B62"/>
    <w:rsid w:val="006D3B7B"/>
    <w:rsid w:val="006D3C9D"/>
    <w:rsid w:val="006D3E74"/>
    <w:rsid w:val="006D3F55"/>
    <w:rsid w:val="006D4607"/>
    <w:rsid w:val="006D468D"/>
    <w:rsid w:val="006D494E"/>
    <w:rsid w:val="006D5022"/>
    <w:rsid w:val="006D5029"/>
    <w:rsid w:val="006D5076"/>
    <w:rsid w:val="006D515E"/>
    <w:rsid w:val="006D517F"/>
    <w:rsid w:val="006D525C"/>
    <w:rsid w:val="006D58A2"/>
    <w:rsid w:val="006D5AB1"/>
    <w:rsid w:val="006D5B64"/>
    <w:rsid w:val="006D5C82"/>
    <w:rsid w:val="006D5D32"/>
    <w:rsid w:val="006D5FC7"/>
    <w:rsid w:val="006D635B"/>
    <w:rsid w:val="006D6483"/>
    <w:rsid w:val="006D6742"/>
    <w:rsid w:val="006D684D"/>
    <w:rsid w:val="006D6994"/>
    <w:rsid w:val="006D6B2B"/>
    <w:rsid w:val="006D6B4B"/>
    <w:rsid w:val="006D6D95"/>
    <w:rsid w:val="006D6ED7"/>
    <w:rsid w:val="006D7241"/>
    <w:rsid w:val="006D73E9"/>
    <w:rsid w:val="006D745C"/>
    <w:rsid w:val="006D746D"/>
    <w:rsid w:val="006D775C"/>
    <w:rsid w:val="006D78D0"/>
    <w:rsid w:val="006D7B55"/>
    <w:rsid w:val="006D7B64"/>
    <w:rsid w:val="006D7B94"/>
    <w:rsid w:val="006D7DB2"/>
    <w:rsid w:val="006D7E3D"/>
    <w:rsid w:val="006E0110"/>
    <w:rsid w:val="006E0130"/>
    <w:rsid w:val="006E0238"/>
    <w:rsid w:val="006E02D0"/>
    <w:rsid w:val="006E06E3"/>
    <w:rsid w:val="006E0804"/>
    <w:rsid w:val="006E0A79"/>
    <w:rsid w:val="006E0B60"/>
    <w:rsid w:val="006E0CAB"/>
    <w:rsid w:val="006E11CC"/>
    <w:rsid w:val="006E14B5"/>
    <w:rsid w:val="006E1728"/>
    <w:rsid w:val="006E17E7"/>
    <w:rsid w:val="006E17E8"/>
    <w:rsid w:val="006E19A2"/>
    <w:rsid w:val="006E1D92"/>
    <w:rsid w:val="006E1EE0"/>
    <w:rsid w:val="006E1F0A"/>
    <w:rsid w:val="006E2217"/>
    <w:rsid w:val="006E24B9"/>
    <w:rsid w:val="006E264F"/>
    <w:rsid w:val="006E2960"/>
    <w:rsid w:val="006E2AF0"/>
    <w:rsid w:val="006E2D9B"/>
    <w:rsid w:val="006E2F69"/>
    <w:rsid w:val="006E3003"/>
    <w:rsid w:val="006E331F"/>
    <w:rsid w:val="006E346A"/>
    <w:rsid w:val="006E35D7"/>
    <w:rsid w:val="006E39CB"/>
    <w:rsid w:val="006E3D50"/>
    <w:rsid w:val="006E3D7B"/>
    <w:rsid w:val="006E406E"/>
    <w:rsid w:val="006E42F2"/>
    <w:rsid w:val="006E4419"/>
    <w:rsid w:val="006E4510"/>
    <w:rsid w:val="006E45E5"/>
    <w:rsid w:val="006E46D6"/>
    <w:rsid w:val="006E4DAC"/>
    <w:rsid w:val="006E4DE2"/>
    <w:rsid w:val="006E4FB6"/>
    <w:rsid w:val="006E53C6"/>
    <w:rsid w:val="006E5716"/>
    <w:rsid w:val="006E58D5"/>
    <w:rsid w:val="006E5BAA"/>
    <w:rsid w:val="006E5F16"/>
    <w:rsid w:val="006E6290"/>
    <w:rsid w:val="006E62C0"/>
    <w:rsid w:val="006E648E"/>
    <w:rsid w:val="006E6836"/>
    <w:rsid w:val="006E6913"/>
    <w:rsid w:val="006E69BF"/>
    <w:rsid w:val="006E6D9F"/>
    <w:rsid w:val="006E701F"/>
    <w:rsid w:val="006E727D"/>
    <w:rsid w:val="006E7633"/>
    <w:rsid w:val="006E7878"/>
    <w:rsid w:val="006E78AD"/>
    <w:rsid w:val="006E7CD7"/>
    <w:rsid w:val="006F01BB"/>
    <w:rsid w:val="006F055F"/>
    <w:rsid w:val="006F0818"/>
    <w:rsid w:val="006F087D"/>
    <w:rsid w:val="006F0C0A"/>
    <w:rsid w:val="006F0C6A"/>
    <w:rsid w:val="006F0D4A"/>
    <w:rsid w:val="006F0E23"/>
    <w:rsid w:val="006F1064"/>
    <w:rsid w:val="006F1184"/>
    <w:rsid w:val="006F1354"/>
    <w:rsid w:val="006F14D5"/>
    <w:rsid w:val="006F16DB"/>
    <w:rsid w:val="006F1A0F"/>
    <w:rsid w:val="006F2117"/>
    <w:rsid w:val="006F23A8"/>
    <w:rsid w:val="006F2B2F"/>
    <w:rsid w:val="006F2D9F"/>
    <w:rsid w:val="006F3166"/>
    <w:rsid w:val="006F350D"/>
    <w:rsid w:val="006F350F"/>
    <w:rsid w:val="006F3535"/>
    <w:rsid w:val="006F3536"/>
    <w:rsid w:val="006F367A"/>
    <w:rsid w:val="006F3969"/>
    <w:rsid w:val="006F3D2F"/>
    <w:rsid w:val="006F3D4D"/>
    <w:rsid w:val="006F3E91"/>
    <w:rsid w:val="006F3EA2"/>
    <w:rsid w:val="006F3F1D"/>
    <w:rsid w:val="006F3F8A"/>
    <w:rsid w:val="006F3FEB"/>
    <w:rsid w:val="006F419B"/>
    <w:rsid w:val="006F4223"/>
    <w:rsid w:val="006F460B"/>
    <w:rsid w:val="006F4E8D"/>
    <w:rsid w:val="006F557D"/>
    <w:rsid w:val="006F5802"/>
    <w:rsid w:val="006F5874"/>
    <w:rsid w:val="006F5914"/>
    <w:rsid w:val="006F5A78"/>
    <w:rsid w:val="006F5B1F"/>
    <w:rsid w:val="006F5FCC"/>
    <w:rsid w:val="006F5FF6"/>
    <w:rsid w:val="006F60C8"/>
    <w:rsid w:val="006F619E"/>
    <w:rsid w:val="006F62ED"/>
    <w:rsid w:val="006F69B5"/>
    <w:rsid w:val="006F6B78"/>
    <w:rsid w:val="006F6F26"/>
    <w:rsid w:val="006F6F38"/>
    <w:rsid w:val="006F7162"/>
    <w:rsid w:val="006F7197"/>
    <w:rsid w:val="006F71BE"/>
    <w:rsid w:val="006F7243"/>
    <w:rsid w:val="006F7498"/>
    <w:rsid w:val="006F755F"/>
    <w:rsid w:val="006F761F"/>
    <w:rsid w:val="006F782E"/>
    <w:rsid w:val="006F784C"/>
    <w:rsid w:val="006F79D4"/>
    <w:rsid w:val="006F7EE5"/>
    <w:rsid w:val="0070020A"/>
    <w:rsid w:val="00700A41"/>
    <w:rsid w:val="00700D65"/>
    <w:rsid w:val="00701040"/>
    <w:rsid w:val="00701131"/>
    <w:rsid w:val="007015FD"/>
    <w:rsid w:val="0070178F"/>
    <w:rsid w:val="00701999"/>
    <w:rsid w:val="00701B6C"/>
    <w:rsid w:val="00701B81"/>
    <w:rsid w:val="007022E8"/>
    <w:rsid w:val="00702474"/>
    <w:rsid w:val="00702485"/>
    <w:rsid w:val="007026FD"/>
    <w:rsid w:val="00702914"/>
    <w:rsid w:val="00702AA9"/>
    <w:rsid w:val="00702D90"/>
    <w:rsid w:val="00702E50"/>
    <w:rsid w:val="00702F89"/>
    <w:rsid w:val="00703043"/>
    <w:rsid w:val="0070359A"/>
    <w:rsid w:val="007036E1"/>
    <w:rsid w:val="00704571"/>
    <w:rsid w:val="007047D4"/>
    <w:rsid w:val="0070484E"/>
    <w:rsid w:val="00704C66"/>
    <w:rsid w:val="00704C7F"/>
    <w:rsid w:val="007051AB"/>
    <w:rsid w:val="0070524A"/>
    <w:rsid w:val="0070541A"/>
    <w:rsid w:val="007056D2"/>
    <w:rsid w:val="00705CB7"/>
    <w:rsid w:val="00705CC8"/>
    <w:rsid w:val="007061E3"/>
    <w:rsid w:val="00706574"/>
    <w:rsid w:val="00706A9B"/>
    <w:rsid w:val="00706BDC"/>
    <w:rsid w:val="00707038"/>
    <w:rsid w:val="007070B9"/>
    <w:rsid w:val="007072B0"/>
    <w:rsid w:val="00707F8E"/>
    <w:rsid w:val="00710120"/>
    <w:rsid w:val="007107B3"/>
    <w:rsid w:val="00710928"/>
    <w:rsid w:val="00710AAE"/>
    <w:rsid w:val="007112A0"/>
    <w:rsid w:val="007112CF"/>
    <w:rsid w:val="007118CA"/>
    <w:rsid w:val="00711B2F"/>
    <w:rsid w:val="00711D5A"/>
    <w:rsid w:val="00711E66"/>
    <w:rsid w:val="007120A7"/>
    <w:rsid w:val="007120F0"/>
    <w:rsid w:val="0071212A"/>
    <w:rsid w:val="0071261D"/>
    <w:rsid w:val="007131D6"/>
    <w:rsid w:val="007132E3"/>
    <w:rsid w:val="00713C01"/>
    <w:rsid w:val="00713C1D"/>
    <w:rsid w:val="00713CEB"/>
    <w:rsid w:val="00713E45"/>
    <w:rsid w:val="00713ECD"/>
    <w:rsid w:val="00713FE1"/>
    <w:rsid w:val="0071417F"/>
    <w:rsid w:val="0071476A"/>
    <w:rsid w:val="00714A91"/>
    <w:rsid w:val="00714AF4"/>
    <w:rsid w:val="00714C13"/>
    <w:rsid w:val="00714C8F"/>
    <w:rsid w:val="00715064"/>
    <w:rsid w:val="0071514F"/>
    <w:rsid w:val="0071535D"/>
    <w:rsid w:val="00715475"/>
    <w:rsid w:val="007155E2"/>
    <w:rsid w:val="0071605E"/>
    <w:rsid w:val="00716149"/>
    <w:rsid w:val="00716411"/>
    <w:rsid w:val="00716467"/>
    <w:rsid w:val="007166B3"/>
    <w:rsid w:val="00716B16"/>
    <w:rsid w:val="007172DD"/>
    <w:rsid w:val="007172E7"/>
    <w:rsid w:val="007174D4"/>
    <w:rsid w:val="00717518"/>
    <w:rsid w:val="00717682"/>
    <w:rsid w:val="00717B18"/>
    <w:rsid w:val="00717C61"/>
    <w:rsid w:val="00717CC9"/>
    <w:rsid w:val="00717DF3"/>
    <w:rsid w:val="00717ED5"/>
    <w:rsid w:val="00720093"/>
    <w:rsid w:val="007203DE"/>
    <w:rsid w:val="00720AAA"/>
    <w:rsid w:val="00720B59"/>
    <w:rsid w:val="00720CDA"/>
    <w:rsid w:val="00720D39"/>
    <w:rsid w:val="00720DEC"/>
    <w:rsid w:val="007211E2"/>
    <w:rsid w:val="007213A7"/>
    <w:rsid w:val="0072152E"/>
    <w:rsid w:val="0072162A"/>
    <w:rsid w:val="007217E4"/>
    <w:rsid w:val="0072180B"/>
    <w:rsid w:val="00721827"/>
    <w:rsid w:val="00721A0C"/>
    <w:rsid w:val="00721A73"/>
    <w:rsid w:val="00721AFB"/>
    <w:rsid w:val="00721D56"/>
    <w:rsid w:val="00721DFD"/>
    <w:rsid w:val="00722129"/>
    <w:rsid w:val="007222FA"/>
    <w:rsid w:val="00722627"/>
    <w:rsid w:val="00722647"/>
    <w:rsid w:val="00722682"/>
    <w:rsid w:val="007226A6"/>
    <w:rsid w:val="0072280A"/>
    <w:rsid w:val="00722A7E"/>
    <w:rsid w:val="00722D9C"/>
    <w:rsid w:val="00722E50"/>
    <w:rsid w:val="00722E8A"/>
    <w:rsid w:val="00722F41"/>
    <w:rsid w:val="00723035"/>
    <w:rsid w:val="007237CC"/>
    <w:rsid w:val="00723BBA"/>
    <w:rsid w:val="00723CB1"/>
    <w:rsid w:val="00723CF6"/>
    <w:rsid w:val="00723D9A"/>
    <w:rsid w:val="00723DAC"/>
    <w:rsid w:val="0072431A"/>
    <w:rsid w:val="007243BA"/>
    <w:rsid w:val="00724924"/>
    <w:rsid w:val="00724C15"/>
    <w:rsid w:val="00724DD4"/>
    <w:rsid w:val="007252BA"/>
    <w:rsid w:val="007255A7"/>
    <w:rsid w:val="007255CA"/>
    <w:rsid w:val="00725C7A"/>
    <w:rsid w:val="00725D15"/>
    <w:rsid w:val="00725DC2"/>
    <w:rsid w:val="007260A2"/>
    <w:rsid w:val="0072611E"/>
    <w:rsid w:val="00726168"/>
    <w:rsid w:val="007261D5"/>
    <w:rsid w:val="007265E1"/>
    <w:rsid w:val="00726615"/>
    <w:rsid w:val="0072666B"/>
    <w:rsid w:val="00726813"/>
    <w:rsid w:val="0072694E"/>
    <w:rsid w:val="0072696D"/>
    <w:rsid w:val="00726B29"/>
    <w:rsid w:val="00726D68"/>
    <w:rsid w:val="00726F37"/>
    <w:rsid w:val="00726FC0"/>
    <w:rsid w:val="007270A2"/>
    <w:rsid w:val="00727396"/>
    <w:rsid w:val="0072771B"/>
    <w:rsid w:val="0072788A"/>
    <w:rsid w:val="00727B1D"/>
    <w:rsid w:val="00727E40"/>
    <w:rsid w:val="00727ECE"/>
    <w:rsid w:val="0073026E"/>
    <w:rsid w:val="00730305"/>
    <w:rsid w:val="00730406"/>
    <w:rsid w:val="0073042B"/>
    <w:rsid w:val="007309DD"/>
    <w:rsid w:val="00730DC8"/>
    <w:rsid w:val="00730F5C"/>
    <w:rsid w:val="00730F5D"/>
    <w:rsid w:val="00730F7E"/>
    <w:rsid w:val="007312F9"/>
    <w:rsid w:val="007312FD"/>
    <w:rsid w:val="007313BA"/>
    <w:rsid w:val="007315D4"/>
    <w:rsid w:val="00731821"/>
    <w:rsid w:val="00731AD9"/>
    <w:rsid w:val="00731AF9"/>
    <w:rsid w:val="00731B08"/>
    <w:rsid w:val="00731B9C"/>
    <w:rsid w:val="00731FBD"/>
    <w:rsid w:val="00732138"/>
    <w:rsid w:val="007321A1"/>
    <w:rsid w:val="00732439"/>
    <w:rsid w:val="00732862"/>
    <w:rsid w:val="00732942"/>
    <w:rsid w:val="00732BCC"/>
    <w:rsid w:val="00733371"/>
    <w:rsid w:val="00733669"/>
    <w:rsid w:val="007337F8"/>
    <w:rsid w:val="00733965"/>
    <w:rsid w:val="00734155"/>
    <w:rsid w:val="0073424F"/>
    <w:rsid w:val="007343CE"/>
    <w:rsid w:val="00734597"/>
    <w:rsid w:val="00734C81"/>
    <w:rsid w:val="00734CC9"/>
    <w:rsid w:val="007352DF"/>
    <w:rsid w:val="00735313"/>
    <w:rsid w:val="007353D6"/>
    <w:rsid w:val="0073548F"/>
    <w:rsid w:val="007354CD"/>
    <w:rsid w:val="007355E5"/>
    <w:rsid w:val="0073570B"/>
    <w:rsid w:val="00735CEC"/>
    <w:rsid w:val="0073671B"/>
    <w:rsid w:val="00736748"/>
    <w:rsid w:val="0073676D"/>
    <w:rsid w:val="00736909"/>
    <w:rsid w:val="007369A4"/>
    <w:rsid w:val="00736CD9"/>
    <w:rsid w:val="00736D22"/>
    <w:rsid w:val="00737136"/>
    <w:rsid w:val="007371CC"/>
    <w:rsid w:val="007373DE"/>
    <w:rsid w:val="00737600"/>
    <w:rsid w:val="00737ADE"/>
    <w:rsid w:val="00737AFD"/>
    <w:rsid w:val="00737BDF"/>
    <w:rsid w:val="00740228"/>
    <w:rsid w:val="007404FF"/>
    <w:rsid w:val="0074056A"/>
    <w:rsid w:val="00740EC6"/>
    <w:rsid w:val="007413A8"/>
    <w:rsid w:val="007414A8"/>
    <w:rsid w:val="00741677"/>
    <w:rsid w:val="0074169F"/>
    <w:rsid w:val="007417A1"/>
    <w:rsid w:val="0074187E"/>
    <w:rsid w:val="007419BD"/>
    <w:rsid w:val="007419C4"/>
    <w:rsid w:val="00741D09"/>
    <w:rsid w:val="00741F05"/>
    <w:rsid w:val="00742310"/>
    <w:rsid w:val="00742B1B"/>
    <w:rsid w:val="00742D8C"/>
    <w:rsid w:val="00742EEE"/>
    <w:rsid w:val="00743043"/>
    <w:rsid w:val="00743450"/>
    <w:rsid w:val="00743E79"/>
    <w:rsid w:val="0074445E"/>
    <w:rsid w:val="007444A5"/>
    <w:rsid w:val="00744617"/>
    <w:rsid w:val="00744664"/>
    <w:rsid w:val="00744742"/>
    <w:rsid w:val="0074477D"/>
    <w:rsid w:val="007447D0"/>
    <w:rsid w:val="00744816"/>
    <w:rsid w:val="00744A1E"/>
    <w:rsid w:val="00744A90"/>
    <w:rsid w:val="00744BA5"/>
    <w:rsid w:val="00744F6A"/>
    <w:rsid w:val="00744FAF"/>
    <w:rsid w:val="00745171"/>
    <w:rsid w:val="00745295"/>
    <w:rsid w:val="0074591F"/>
    <w:rsid w:val="00745A67"/>
    <w:rsid w:val="0074643E"/>
    <w:rsid w:val="0074644A"/>
    <w:rsid w:val="007467A5"/>
    <w:rsid w:val="00746864"/>
    <w:rsid w:val="007469E9"/>
    <w:rsid w:val="00746C12"/>
    <w:rsid w:val="00746E6B"/>
    <w:rsid w:val="007471B3"/>
    <w:rsid w:val="007473E8"/>
    <w:rsid w:val="007474D7"/>
    <w:rsid w:val="00747803"/>
    <w:rsid w:val="00747DEE"/>
    <w:rsid w:val="00747F16"/>
    <w:rsid w:val="00747FEA"/>
    <w:rsid w:val="007501E5"/>
    <w:rsid w:val="007503D1"/>
    <w:rsid w:val="007507B4"/>
    <w:rsid w:val="00750A30"/>
    <w:rsid w:val="00750C6A"/>
    <w:rsid w:val="00750DE1"/>
    <w:rsid w:val="00750E5B"/>
    <w:rsid w:val="00750F64"/>
    <w:rsid w:val="0075106E"/>
    <w:rsid w:val="007512B8"/>
    <w:rsid w:val="007512C6"/>
    <w:rsid w:val="00751929"/>
    <w:rsid w:val="00751D37"/>
    <w:rsid w:val="00751FCF"/>
    <w:rsid w:val="007523C4"/>
    <w:rsid w:val="0075252B"/>
    <w:rsid w:val="00752737"/>
    <w:rsid w:val="00752832"/>
    <w:rsid w:val="007532BE"/>
    <w:rsid w:val="00753373"/>
    <w:rsid w:val="00753640"/>
    <w:rsid w:val="00753771"/>
    <w:rsid w:val="00753847"/>
    <w:rsid w:val="00753D0B"/>
    <w:rsid w:val="00753D20"/>
    <w:rsid w:val="00753DB5"/>
    <w:rsid w:val="00753EF0"/>
    <w:rsid w:val="00754094"/>
    <w:rsid w:val="007540A2"/>
    <w:rsid w:val="007540BB"/>
    <w:rsid w:val="007542FD"/>
    <w:rsid w:val="00754715"/>
    <w:rsid w:val="007548B5"/>
    <w:rsid w:val="00754A2D"/>
    <w:rsid w:val="00754DF4"/>
    <w:rsid w:val="00755244"/>
    <w:rsid w:val="00755399"/>
    <w:rsid w:val="00755424"/>
    <w:rsid w:val="007554CF"/>
    <w:rsid w:val="0075555B"/>
    <w:rsid w:val="007555DA"/>
    <w:rsid w:val="00755AE6"/>
    <w:rsid w:val="00755B94"/>
    <w:rsid w:val="00755C34"/>
    <w:rsid w:val="007560BF"/>
    <w:rsid w:val="0075630F"/>
    <w:rsid w:val="00756609"/>
    <w:rsid w:val="007566CA"/>
    <w:rsid w:val="0075675F"/>
    <w:rsid w:val="00757257"/>
    <w:rsid w:val="00757B7C"/>
    <w:rsid w:val="00757CE9"/>
    <w:rsid w:val="00757E7D"/>
    <w:rsid w:val="00757F61"/>
    <w:rsid w:val="00760085"/>
    <w:rsid w:val="007600E5"/>
    <w:rsid w:val="00760286"/>
    <w:rsid w:val="007603EF"/>
    <w:rsid w:val="0076054B"/>
    <w:rsid w:val="007605F5"/>
    <w:rsid w:val="0076076A"/>
    <w:rsid w:val="0076076B"/>
    <w:rsid w:val="00760830"/>
    <w:rsid w:val="00760E41"/>
    <w:rsid w:val="00760EA2"/>
    <w:rsid w:val="007610E0"/>
    <w:rsid w:val="00761226"/>
    <w:rsid w:val="00761295"/>
    <w:rsid w:val="0076129F"/>
    <w:rsid w:val="00761709"/>
    <w:rsid w:val="007617CB"/>
    <w:rsid w:val="00761EC2"/>
    <w:rsid w:val="00762293"/>
    <w:rsid w:val="00762613"/>
    <w:rsid w:val="00762CE8"/>
    <w:rsid w:val="00762D75"/>
    <w:rsid w:val="00762EA4"/>
    <w:rsid w:val="00762EF1"/>
    <w:rsid w:val="0076322A"/>
    <w:rsid w:val="0076327A"/>
    <w:rsid w:val="00763332"/>
    <w:rsid w:val="00763440"/>
    <w:rsid w:val="0076349E"/>
    <w:rsid w:val="00763506"/>
    <w:rsid w:val="00763D61"/>
    <w:rsid w:val="00763F0B"/>
    <w:rsid w:val="00763F5C"/>
    <w:rsid w:val="007642FA"/>
    <w:rsid w:val="007645B3"/>
    <w:rsid w:val="00764B64"/>
    <w:rsid w:val="00764B78"/>
    <w:rsid w:val="00764CAE"/>
    <w:rsid w:val="00764E9B"/>
    <w:rsid w:val="00764FF5"/>
    <w:rsid w:val="00765527"/>
    <w:rsid w:val="0076563C"/>
    <w:rsid w:val="00765670"/>
    <w:rsid w:val="00765C32"/>
    <w:rsid w:val="00766212"/>
    <w:rsid w:val="00766854"/>
    <w:rsid w:val="00766994"/>
    <w:rsid w:val="007669D8"/>
    <w:rsid w:val="00766F05"/>
    <w:rsid w:val="00767204"/>
    <w:rsid w:val="00767377"/>
    <w:rsid w:val="0077004B"/>
    <w:rsid w:val="007702BB"/>
    <w:rsid w:val="00770489"/>
    <w:rsid w:val="00770583"/>
    <w:rsid w:val="00770716"/>
    <w:rsid w:val="00770BE4"/>
    <w:rsid w:val="00770C40"/>
    <w:rsid w:val="00771163"/>
    <w:rsid w:val="007714E2"/>
    <w:rsid w:val="007717DF"/>
    <w:rsid w:val="00771879"/>
    <w:rsid w:val="00771944"/>
    <w:rsid w:val="00771B63"/>
    <w:rsid w:val="00771E31"/>
    <w:rsid w:val="00772527"/>
    <w:rsid w:val="00772545"/>
    <w:rsid w:val="0077258B"/>
    <w:rsid w:val="00772B50"/>
    <w:rsid w:val="00772F6F"/>
    <w:rsid w:val="007730B9"/>
    <w:rsid w:val="00773187"/>
    <w:rsid w:val="007733D1"/>
    <w:rsid w:val="0077399F"/>
    <w:rsid w:val="00773D1B"/>
    <w:rsid w:val="00773D3A"/>
    <w:rsid w:val="00773D92"/>
    <w:rsid w:val="00773EBB"/>
    <w:rsid w:val="00773F1B"/>
    <w:rsid w:val="0077410C"/>
    <w:rsid w:val="00774F8F"/>
    <w:rsid w:val="007750C8"/>
    <w:rsid w:val="00775180"/>
    <w:rsid w:val="007751B3"/>
    <w:rsid w:val="00775339"/>
    <w:rsid w:val="007753F3"/>
    <w:rsid w:val="007754F1"/>
    <w:rsid w:val="00775686"/>
    <w:rsid w:val="007757ED"/>
    <w:rsid w:val="00775A1F"/>
    <w:rsid w:val="00775A4D"/>
    <w:rsid w:val="00775DAC"/>
    <w:rsid w:val="00775E3C"/>
    <w:rsid w:val="0077672F"/>
    <w:rsid w:val="007767CE"/>
    <w:rsid w:val="00776B82"/>
    <w:rsid w:val="00776E37"/>
    <w:rsid w:val="007771A0"/>
    <w:rsid w:val="00777515"/>
    <w:rsid w:val="00777729"/>
    <w:rsid w:val="0077772B"/>
    <w:rsid w:val="0077780C"/>
    <w:rsid w:val="00777B6A"/>
    <w:rsid w:val="00777B87"/>
    <w:rsid w:val="00777FA8"/>
    <w:rsid w:val="0078054B"/>
    <w:rsid w:val="0078090B"/>
    <w:rsid w:val="00780A0C"/>
    <w:rsid w:val="00780A5B"/>
    <w:rsid w:val="00780C32"/>
    <w:rsid w:val="00780D44"/>
    <w:rsid w:val="007817BD"/>
    <w:rsid w:val="007817EB"/>
    <w:rsid w:val="0078196D"/>
    <w:rsid w:val="00781A37"/>
    <w:rsid w:val="00781AAB"/>
    <w:rsid w:val="00781C6D"/>
    <w:rsid w:val="00781D42"/>
    <w:rsid w:val="007821A8"/>
    <w:rsid w:val="00782A6B"/>
    <w:rsid w:val="00782C23"/>
    <w:rsid w:val="00782E29"/>
    <w:rsid w:val="007835EB"/>
    <w:rsid w:val="0078366E"/>
    <w:rsid w:val="00783921"/>
    <w:rsid w:val="00783EF6"/>
    <w:rsid w:val="00784474"/>
    <w:rsid w:val="00784520"/>
    <w:rsid w:val="007845EA"/>
    <w:rsid w:val="007846D2"/>
    <w:rsid w:val="007847B8"/>
    <w:rsid w:val="007849AE"/>
    <w:rsid w:val="007849DA"/>
    <w:rsid w:val="00784F3A"/>
    <w:rsid w:val="0078536B"/>
    <w:rsid w:val="0078555E"/>
    <w:rsid w:val="007855EB"/>
    <w:rsid w:val="007857E9"/>
    <w:rsid w:val="00785B04"/>
    <w:rsid w:val="00785B49"/>
    <w:rsid w:val="00785BDE"/>
    <w:rsid w:val="00786134"/>
    <w:rsid w:val="007863C0"/>
    <w:rsid w:val="00786575"/>
    <w:rsid w:val="00786687"/>
    <w:rsid w:val="0078684C"/>
    <w:rsid w:val="007868B1"/>
    <w:rsid w:val="00786A12"/>
    <w:rsid w:val="00786FA5"/>
    <w:rsid w:val="007878A7"/>
    <w:rsid w:val="00787C54"/>
    <w:rsid w:val="007906A5"/>
    <w:rsid w:val="00790906"/>
    <w:rsid w:val="00790AAB"/>
    <w:rsid w:val="00791091"/>
    <w:rsid w:val="00791127"/>
    <w:rsid w:val="00791485"/>
    <w:rsid w:val="007915B4"/>
    <w:rsid w:val="00791FA3"/>
    <w:rsid w:val="00792307"/>
    <w:rsid w:val="00792357"/>
    <w:rsid w:val="00792ACE"/>
    <w:rsid w:val="00792BC9"/>
    <w:rsid w:val="00792F27"/>
    <w:rsid w:val="00793004"/>
    <w:rsid w:val="00793579"/>
    <w:rsid w:val="007936F8"/>
    <w:rsid w:val="00793CC6"/>
    <w:rsid w:val="00793F1B"/>
    <w:rsid w:val="00793F98"/>
    <w:rsid w:val="00794075"/>
    <w:rsid w:val="00794254"/>
    <w:rsid w:val="00794A6B"/>
    <w:rsid w:val="00794A80"/>
    <w:rsid w:val="00794D68"/>
    <w:rsid w:val="00795138"/>
    <w:rsid w:val="00795293"/>
    <w:rsid w:val="007954AA"/>
    <w:rsid w:val="0079590B"/>
    <w:rsid w:val="00795B93"/>
    <w:rsid w:val="00795BD1"/>
    <w:rsid w:val="00796037"/>
    <w:rsid w:val="007963B5"/>
    <w:rsid w:val="00796441"/>
    <w:rsid w:val="00796649"/>
    <w:rsid w:val="00796938"/>
    <w:rsid w:val="00796C83"/>
    <w:rsid w:val="00796D7D"/>
    <w:rsid w:val="00796E79"/>
    <w:rsid w:val="00796F07"/>
    <w:rsid w:val="00796F9D"/>
    <w:rsid w:val="00797132"/>
    <w:rsid w:val="0079729F"/>
    <w:rsid w:val="0079759D"/>
    <w:rsid w:val="007976F7"/>
    <w:rsid w:val="00797757"/>
    <w:rsid w:val="00797A1E"/>
    <w:rsid w:val="00797A6C"/>
    <w:rsid w:val="00797AB0"/>
    <w:rsid w:val="00797AC1"/>
    <w:rsid w:val="00797B61"/>
    <w:rsid w:val="00797BC4"/>
    <w:rsid w:val="00797C12"/>
    <w:rsid w:val="007A0114"/>
    <w:rsid w:val="007A017C"/>
    <w:rsid w:val="007A0216"/>
    <w:rsid w:val="007A0616"/>
    <w:rsid w:val="007A0A34"/>
    <w:rsid w:val="007A0D89"/>
    <w:rsid w:val="007A1295"/>
    <w:rsid w:val="007A15B7"/>
    <w:rsid w:val="007A1725"/>
    <w:rsid w:val="007A17F7"/>
    <w:rsid w:val="007A1B85"/>
    <w:rsid w:val="007A20A5"/>
    <w:rsid w:val="007A23FB"/>
    <w:rsid w:val="007A2709"/>
    <w:rsid w:val="007A2831"/>
    <w:rsid w:val="007A2A38"/>
    <w:rsid w:val="007A2B1B"/>
    <w:rsid w:val="007A31C2"/>
    <w:rsid w:val="007A32E4"/>
    <w:rsid w:val="007A35B1"/>
    <w:rsid w:val="007A364B"/>
    <w:rsid w:val="007A3782"/>
    <w:rsid w:val="007A39AA"/>
    <w:rsid w:val="007A3A48"/>
    <w:rsid w:val="007A3CDF"/>
    <w:rsid w:val="007A3ED3"/>
    <w:rsid w:val="007A40BA"/>
    <w:rsid w:val="007A443C"/>
    <w:rsid w:val="007A4877"/>
    <w:rsid w:val="007A4983"/>
    <w:rsid w:val="007A4B57"/>
    <w:rsid w:val="007A4C9E"/>
    <w:rsid w:val="007A4DFE"/>
    <w:rsid w:val="007A54A1"/>
    <w:rsid w:val="007A5807"/>
    <w:rsid w:val="007A5B64"/>
    <w:rsid w:val="007A5CC8"/>
    <w:rsid w:val="007A5DAF"/>
    <w:rsid w:val="007A6184"/>
    <w:rsid w:val="007A64C1"/>
    <w:rsid w:val="007A65E4"/>
    <w:rsid w:val="007A6B75"/>
    <w:rsid w:val="007A6F33"/>
    <w:rsid w:val="007A7565"/>
    <w:rsid w:val="007A7747"/>
    <w:rsid w:val="007A7A48"/>
    <w:rsid w:val="007A7AEF"/>
    <w:rsid w:val="007A7B4E"/>
    <w:rsid w:val="007B01A8"/>
    <w:rsid w:val="007B0568"/>
    <w:rsid w:val="007B0870"/>
    <w:rsid w:val="007B0BFB"/>
    <w:rsid w:val="007B0D19"/>
    <w:rsid w:val="007B12B5"/>
    <w:rsid w:val="007B16E3"/>
    <w:rsid w:val="007B1D30"/>
    <w:rsid w:val="007B1D79"/>
    <w:rsid w:val="007B1DEA"/>
    <w:rsid w:val="007B1EA5"/>
    <w:rsid w:val="007B1F2D"/>
    <w:rsid w:val="007B1FDB"/>
    <w:rsid w:val="007B2392"/>
    <w:rsid w:val="007B24A8"/>
    <w:rsid w:val="007B26C4"/>
    <w:rsid w:val="007B282F"/>
    <w:rsid w:val="007B29C4"/>
    <w:rsid w:val="007B2B76"/>
    <w:rsid w:val="007B2C8C"/>
    <w:rsid w:val="007B31F9"/>
    <w:rsid w:val="007B3356"/>
    <w:rsid w:val="007B354B"/>
    <w:rsid w:val="007B3AD6"/>
    <w:rsid w:val="007B3B43"/>
    <w:rsid w:val="007B3C16"/>
    <w:rsid w:val="007B3ECE"/>
    <w:rsid w:val="007B4493"/>
    <w:rsid w:val="007B44F4"/>
    <w:rsid w:val="007B465F"/>
    <w:rsid w:val="007B47B6"/>
    <w:rsid w:val="007B4F9C"/>
    <w:rsid w:val="007B50CD"/>
    <w:rsid w:val="007B50DF"/>
    <w:rsid w:val="007B5101"/>
    <w:rsid w:val="007B52A0"/>
    <w:rsid w:val="007B52BF"/>
    <w:rsid w:val="007B5302"/>
    <w:rsid w:val="007B5364"/>
    <w:rsid w:val="007B56CC"/>
    <w:rsid w:val="007B56F7"/>
    <w:rsid w:val="007B5D9B"/>
    <w:rsid w:val="007B609D"/>
    <w:rsid w:val="007B6155"/>
    <w:rsid w:val="007B6384"/>
    <w:rsid w:val="007B660F"/>
    <w:rsid w:val="007B6971"/>
    <w:rsid w:val="007B6B4D"/>
    <w:rsid w:val="007B6D7B"/>
    <w:rsid w:val="007B6E67"/>
    <w:rsid w:val="007B6ECF"/>
    <w:rsid w:val="007B70FD"/>
    <w:rsid w:val="007B713F"/>
    <w:rsid w:val="007B72DB"/>
    <w:rsid w:val="007B7375"/>
    <w:rsid w:val="007B7C53"/>
    <w:rsid w:val="007B7C73"/>
    <w:rsid w:val="007B7E01"/>
    <w:rsid w:val="007B7FC2"/>
    <w:rsid w:val="007B7FCC"/>
    <w:rsid w:val="007C0141"/>
    <w:rsid w:val="007C0C60"/>
    <w:rsid w:val="007C0D4A"/>
    <w:rsid w:val="007C0FF1"/>
    <w:rsid w:val="007C114B"/>
    <w:rsid w:val="007C1173"/>
    <w:rsid w:val="007C11FC"/>
    <w:rsid w:val="007C1392"/>
    <w:rsid w:val="007C13B4"/>
    <w:rsid w:val="007C142B"/>
    <w:rsid w:val="007C14CB"/>
    <w:rsid w:val="007C1642"/>
    <w:rsid w:val="007C1A8B"/>
    <w:rsid w:val="007C1C3B"/>
    <w:rsid w:val="007C1CC0"/>
    <w:rsid w:val="007C1F02"/>
    <w:rsid w:val="007C1FF9"/>
    <w:rsid w:val="007C220D"/>
    <w:rsid w:val="007C2254"/>
    <w:rsid w:val="007C248F"/>
    <w:rsid w:val="007C24F1"/>
    <w:rsid w:val="007C262E"/>
    <w:rsid w:val="007C27D2"/>
    <w:rsid w:val="007C2959"/>
    <w:rsid w:val="007C29C5"/>
    <w:rsid w:val="007C2D5B"/>
    <w:rsid w:val="007C393D"/>
    <w:rsid w:val="007C4092"/>
    <w:rsid w:val="007C43FE"/>
    <w:rsid w:val="007C44DF"/>
    <w:rsid w:val="007C45FD"/>
    <w:rsid w:val="007C494F"/>
    <w:rsid w:val="007C4D42"/>
    <w:rsid w:val="007C51FC"/>
    <w:rsid w:val="007C52BB"/>
    <w:rsid w:val="007C553F"/>
    <w:rsid w:val="007C5999"/>
    <w:rsid w:val="007C5AA1"/>
    <w:rsid w:val="007C64E1"/>
    <w:rsid w:val="007C64E6"/>
    <w:rsid w:val="007C673C"/>
    <w:rsid w:val="007C6A7F"/>
    <w:rsid w:val="007C6D63"/>
    <w:rsid w:val="007C6DDF"/>
    <w:rsid w:val="007C6FD9"/>
    <w:rsid w:val="007C7117"/>
    <w:rsid w:val="007C7504"/>
    <w:rsid w:val="007C7628"/>
    <w:rsid w:val="007C76D3"/>
    <w:rsid w:val="007C7730"/>
    <w:rsid w:val="007C7837"/>
    <w:rsid w:val="007C79DB"/>
    <w:rsid w:val="007C7B5C"/>
    <w:rsid w:val="007C7C60"/>
    <w:rsid w:val="007C7CC6"/>
    <w:rsid w:val="007C7DB9"/>
    <w:rsid w:val="007D00CB"/>
    <w:rsid w:val="007D02F7"/>
    <w:rsid w:val="007D047F"/>
    <w:rsid w:val="007D0AC7"/>
    <w:rsid w:val="007D12B2"/>
    <w:rsid w:val="007D15B1"/>
    <w:rsid w:val="007D1780"/>
    <w:rsid w:val="007D195E"/>
    <w:rsid w:val="007D197C"/>
    <w:rsid w:val="007D1BC2"/>
    <w:rsid w:val="007D1ED5"/>
    <w:rsid w:val="007D218E"/>
    <w:rsid w:val="007D2542"/>
    <w:rsid w:val="007D2687"/>
    <w:rsid w:val="007D2987"/>
    <w:rsid w:val="007D2C0E"/>
    <w:rsid w:val="007D2C4F"/>
    <w:rsid w:val="007D2C59"/>
    <w:rsid w:val="007D2CE7"/>
    <w:rsid w:val="007D2DAE"/>
    <w:rsid w:val="007D2E7E"/>
    <w:rsid w:val="007D30B7"/>
    <w:rsid w:val="007D3115"/>
    <w:rsid w:val="007D3185"/>
    <w:rsid w:val="007D328B"/>
    <w:rsid w:val="007D38AF"/>
    <w:rsid w:val="007D3E81"/>
    <w:rsid w:val="007D44FD"/>
    <w:rsid w:val="007D4579"/>
    <w:rsid w:val="007D46B4"/>
    <w:rsid w:val="007D4863"/>
    <w:rsid w:val="007D4A1B"/>
    <w:rsid w:val="007D4AE1"/>
    <w:rsid w:val="007D4D47"/>
    <w:rsid w:val="007D4FAA"/>
    <w:rsid w:val="007D52D6"/>
    <w:rsid w:val="007D5410"/>
    <w:rsid w:val="007D57E6"/>
    <w:rsid w:val="007D5DC0"/>
    <w:rsid w:val="007D5DE9"/>
    <w:rsid w:val="007D664E"/>
    <w:rsid w:val="007D6874"/>
    <w:rsid w:val="007D6903"/>
    <w:rsid w:val="007D6C70"/>
    <w:rsid w:val="007D6D3D"/>
    <w:rsid w:val="007D6E11"/>
    <w:rsid w:val="007D7596"/>
    <w:rsid w:val="007D7A3F"/>
    <w:rsid w:val="007D7B28"/>
    <w:rsid w:val="007D7BEC"/>
    <w:rsid w:val="007D7ECE"/>
    <w:rsid w:val="007D7FA0"/>
    <w:rsid w:val="007E0736"/>
    <w:rsid w:val="007E0B9E"/>
    <w:rsid w:val="007E0BC0"/>
    <w:rsid w:val="007E0E94"/>
    <w:rsid w:val="007E12CB"/>
    <w:rsid w:val="007E139E"/>
    <w:rsid w:val="007E141E"/>
    <w:rsid w:val="007E141F"/>
    <w:rsid w:val="007E1609"/>
    <w:rsid w:val="007E173C"/>
    <w:rsid w:val="007E18A2"/>
    <w:rsid w:val="007E1946"/>
    <w:rsid w:val="007E1DD2"/>
    <w:rsid w:val="007E1F53"/>
    <w:rsid w:val="007E1FA9"/>
    <w:rsid w:val="007E2A12"/>
    <w:rsid w:val="007E2FC6"/>
    <w:rsid w:val="007E31BF"/>
    <w:rsid w:val="007E36C4"/>
    <w:rsid w:val="007E373E"/>
    <w:rsid w:val="007E3764"/>
    <w:rsid w:val="007E3BAE"/>
    <w:rsid w:val="007E3C99"/>
    <w:rsid w:val="007E3F8C"/>
    <w:rsid w:val="007E432F"/>
    <w:rsid w:val="007E46FD"/>
    <w:rsid w:val="007E4712"/>
    <w:rsid w:val="007E472C"/>
    <w:rsid w:val="007E47DB"/>
    <w:rsid w:val="007E4808"/>
    <w:rsid w:val="007E4981"/>
    <w:rsid w:val="007E4FB4"/>
    <w:rsid w:val="007E5084"/>
    <w:rsid w:val="007E5184"/>
    <w:rsid w:val="007E5187"/>
    <w:rsid w:val="007E51EB"/>
    <w:rsid w:val="007E5352"/>
    <w:rsid w:val="007E55BA"/>
    <w:rsid w:val="007E5726"/>
    <w:rsid w:val="007E58A5"/>
    <w:rsid w:val="007E590C"/>
    <w:rsid w:val="007E59B3"/>
    <w:rsid w:val="007E5B22"/>
    <w:rsid w:val="007E5B55"/>
    <w:rsid w:val="007E5B71"/>
    <w:rsid w:val="007E5C46"/>
    <w:rsid w:val="007E5E78"/>
    <w:rsid w:val="007E61D0"/>
    <w:rsid w:val="007E6672"/>
    <w:rsid w:val="007E6730"/>
    <w:rsid w:val="007E6790"/>
    <w:rsid w:val="007E67BA"/>
    <w:rsid w:val="007E682B"/>
    <w:rsid w:val="007E69EF"/>
    <w:rsid w:val="007E6A94"/>
    <w:rsid w:val="007E6C0B"/>
    <w:rsid w:val="007E7190"/>
    <w:rsid w:val="007E7487"/>
    <w:rsid w:val="007E754E"/>
    <w:rsid w:val="007E78E2"/>
    <w:rsid w:val="007E79F7"/>
    <w:rsid w:val="007E7AF7"/>
    <w:rsid w:val="007E7DA3"/>
    <w:rsid w:val="007E7FEA"/>
    <w:rsid w:val="007F010F"/>
    <w:rsid w:val="007F01BB"/>
    <w:rsid w:val="007F01DC"/>
    <w:rsid w:val="007F09FB"/>
    <w:rsid w:val="007F0A1C"/>
    <w:rsid w:val="007F0CF4"/>
    <w:rsid w:val="007F0E3E"/>
    <w:rsid w:val="007F0E67"/>
    <w:rsid w:val="007F0F73"/>
    <w:rsid w:val="007F1159"/>
    <w:rsid w:val="007F121C"/>
    <w:rsid w:val="007F127D"/>
    <w:rsid w:val="007F13D5"/>
    <w:rsid w:val="007F1430"/>
    <w:rsid w:val="007F1BAE"/>
    <w:rsid w:val="007F1D1F"/>
    <w:rsid w:val="007F1D63"/>
    <w:rsid w:val="007F1E0E"/>
    <w:rsid w:val="007F1E7C"/>
    <w:rsid w:val="007F2029"/>
    <w:rsid w:val="007F2111"/>
    <w:rsid w:val="007F229D"/>
    <w:rsid w:val="007F25FC"/>
    <w:rsid w:val="007F27C1"/>
    <w:rsid w:val="007F2A3E"/>
    <w:rsid w:val="007F2EE0"/>
    <w:rsid w:val="007F335C"/>
    <w:rsid w:val="007F350A"/>
    <w:rsid w:val="007F36B3"/>
    <w:rsid w:val="007F3758"/>
    <w:rsid w:val="007F38B3"/>
    <w:rsid w:val="007F402E"/>
    <w:rsid w:val="007F4337"/>
    <w:rsid w:val="007F44E3"/>
    <w:rsid w:val="007F48DF"/>
    <w:rsid w:val="007F514E"/>
    <w:rsid w:val="007F5360"/>
    <w:rsid w:val="007F545C"/>
    <w:rsid w:val="007F559A"/>
    <w:rsid w:val="007F5C62"/>
    <w:rsid w:val="007F5C6F"/>
    <w:rsid w:val="007F5D4E"/>
    <w:rsid w:val="007F5F67"/>
    <w:rsid w:val="007F620B"/>
    <w:rsid w:val="007F634D"/>
    <w:rsid w:val="007F658F"/>
    <w:rsid w:val="007F68D1"/>
    <w:rsid w:val="007F6900"/>
    <w:rsid w:val="007F6BB7"/>
    <w:rsid w:val="007F6C34"/>
    <w:rsid w:val="007F6E29"/>
    <w:rsid w:val="007F6E2C"/>
    <w:rsid w:val="007F717B"/>
    <w:rsid w:val="007F71F9"/>
    <w:rsid w:val="007F7385"/>
    <w:rsid w:val="007F782F"/>
    <w:rsid w:val="007F7980"/>
    <w:rsid w:val="007F7CED"/>
    <w:rsid w:val="007F7CF1"/>
    <w:rsid w:val="007F7DBE"/>
    <w:rsid w:val="00800328"/>
    <w:rsid w:val="0080051A"/>
    <w:rsid w:val="008006DF"/>
    <w:rsid w:val="0080078D"/>
    <w:rsid w:val="008009EC"/>
    <w:rsid w:val="00800D3D"/>
    <w:rsid w:val="00800F27"/>
    <w:rsid w:val="008011C9"/>
    <w:rsid w:val="00801550"/>
    <w:rsid w:val="00801632"/>
    <w:rsid w:val="0080171E"/>
    <w:rsid w:val="008019EC"/>
    <w:rsid w:val="00801D78"/>
    <w:rsid w:val="008022DE"/>
    <w:rsid w:val="008026A1"/>
    <w:rsid w:val="00802819"/>
    <w:rsid w:val="008028D1"/>
    <w:rsid w:val="00802B21"/>
    <w:rsid w:val="00802CB5"/>
    <w:rsid w:val="00802D6A"/>
    <w:rsid w:val="008030F4"/>
    <w:rsid w:val="00803831"/>
    <w:rsid w:val="0080449E"/>
    <w:rsid w:val="008044C1"/>
    <w:rsid w:val="0080484D"/>
    <w:rsid w:val="00804A5B"/>
    <w:rsid w:val="00804AEA"/>
    <w:rsid w:val="00804DAC"/>
    <w:rsid w:val="0080525C"/>
    <w:rsid w:val="008054EB"/>
    <w:rsid w:val="0080569A"/>
    <w:rsid w:val="0080574D"/>
    <w:rsid w:val="00805AAF"/>
    <w:rsid w:val="00805DEA"/>
    <w:rsid w:val="00805E0A"/>
    <w:rsid w:val="00805EFD"/>
    <w:rsid w:val="008062D9"/>
    <w:rsid w:val="0080782E"/>
    <w:rsid w:val="00807BF9"/>
    <w:rsid w:val="00807D88"/>
    <w:rsid w:val="0081012C"/>
    <w:rsid w:val="00810620"/>
    <w:rsid w:val="00810785"/>
    <w:rsid w:val="008108EA"/>
    <w:rsid w:val="00810A9B"/>
    <w:rsid w:val="00810AC9"/>
    <w:rsid w:val="00810C9C"/>
    <w:rsid w:val="00810CAC"/>
    <w:rsid w:val="00811056"/>
    <w:rsid w:val="00811214"/>
    <w:rsid w:val="008112A2"/>
    <w:rsid w:val="008114D5"/>
    <w:rsid w:val="008114D8"/>
    <w:rsid w:val="008115E0"/>
    <w:rsid w:val="00811B15"/>
    <w:rsid w:val="00811C2C"/>
    <w:rsid w:val="00811C2E"/>
    <w:rsid w:val="00812A37"/>
    <w:rsid w:val="00812B5E"/>
    <w:rsid w:val="00812EBD"/>
    <w:rsid w:val="00813279"/>
    <w:rsid w:val="0081339C"/>
    <w:rsid w:val="008133C4"/>
    <w:rsid w:val="008136AC"/>
    <w:rsid w:val="008136B7"/>
    <w:rsid w:val="00813795"/>
    <w:rsid w:val="00813AEE"/>
    <w:rsid w:val="00813E83"/>
    <w:rsid w:val="00813E86"/>
    <w:rsid w:val="0081402A"/>
    <w:rsid w:val="00814244"/>
    <w:rsid w:val="008145D8"/>
    <w:rsid w:val="008145DF"/>
    <w:rsid w:val="00814696"/>
    <w:rsid w:val="008146A9"/>
    <w:rsid w:val="008146BA"/>
    <w:rsid w:val="008149DE"/>
    <w:rsid w:val="00814BA4"/>
    <w:rsid w:val="00814ED4"/>
    <w:rsid w:val="0081513D"/>
    <w:rsid w:val="00815218"/>
    <w:rsid w:val="00815CB7"/>
    <w:rsid w:val="00815D24"/>
    <w:rsid w:val="0081600F"/>
    <w:rsid w:val="0081624B"/>
    <w:rsid w:val="008169A1"/>
    <w:rsid w:val="00816AD4"/>
    <w:rsid w:val="00816CD0"/>
    <w:rsid w:val="00816DCF"/>
    <w:rsid w:val="0081747E"/>
    <w:rsid w:val="008175E3"/>
    <w:rsid w:val="00817902"/>
    <w:rsid w:val="0081792F"/>
    <w:rsid w:val="00817B3D"/>
    <w:rsid w:val="00817D31"/>
    <w:rsid w:val="00817D49"/>
    <w:rsid w:val="00817F48"/>
    <w:rsid w:val="0082001E"/>
    <w:rsid w:val="008200FD"/>
    <w:rsid w:val="00820692"/>
    <w:rsid w:val="00820AB7"/>
    <w:rsid w:val="00820B06"/>
    <w:rsid w:val="00820B39"/>
    <w:rsid w:val="00820BA7"/>
    <w:rsid w:val="00820BED"/>
    <w:rsid w:val="00820E54"/>
    <w:rsid w:val="00820FB2"/>
    <w:rsid w:val="0082104B"/>
    <w:rsid w:val="00821597"/>
    <w:rsid w:val="00821779"/>
    <w:rsid w:val="00821810"/>
    <w:rsid w:val="00821953"/>
    <w:rsid w:val="00821E86"/>
    <w:rsid w:val="00822119"/>
    <w:rsid w:val="0082228B"/>
    <w:rsid w:val="0082237A"/>
    <w:rsid w:val="00822486"/>
    <w:rsid w:val="0082282B"/>
    <w:rsid w:val="00822872"/>
    <w:rsid w:val="00822938"/>
    <w:rsid w:val="00822C40"/>
    <w:rsid w:val="00822F56"/>
    <w:rsid w:val="008230C3"/>
    <w:rsid w:val="00823268"/>
    <w:rsid w:val="008238AD"/>
    <w:rsid w:val="00823A6C"/>
    <w:rsid w:val="00823BAD"/>
    <w:rsid w:val="00823CE1"/>
    <w:rsid w:val="00823D0A"/>
    <w:rsid w:val="00823E1D"/>
    <w:rsid w:val="00824049"/>
    <w:rsid w:val="008243E6"/>
    <w:rsid w:val="00824517"/>
    <w:rsid w:val="008246A0"/>
    <w:rsid w:val="00824E7D"/>
    <w:rsid w:val="00825328"/>
    <w:rsid w:val="00825C5C"/>
    <w:rsid w:val="0082600B"/>
    <w:rsid w:val="00826099"/>
    <w:rsid w:val="008260F9"/>
    <w:rsid w:val="00826157"/>
    <w:rsid w:val="00826557"/>
    <w:rsid w:val="00826630"/>
    <w:rsid w:val="0082683F"/>
    <w:rsid w:val="008268DD"/>
    <w:rsid w:val="00826B7F"/>
    <w:rsid w:val="00826CCB"/>
    <w:rsid w:val="00826D3E"/>
    <w:rsid w:val="008270F8"/>
    <w:rsid w:val="0082714B"/>
    <w:rsid w:val="00827527"/>
    <w:rsid w:val="00827869"/>
    <w:rsid w:val="008278C0"/>
    <w:rsid w:val="00827BEB"/>
    <w:rsid w:val="00827D22"/>
    <w:rsid w:val="00827FC3"/>
    <w:rsid w:val="00830011"/>
    <w:rsid w:val="00830224"/>
    <w:rsid w:val="008304C4"/>
    <w:rsid w:val="00830A3E"/>
    <w:rsid w:val="00830A48"/>
    <w:rsid w:val="00830A98"/>
    <w:rsid w:val="00830D37"/>
    <w:rsid w:val="00830FFC"/>
    <w:rsid w:val="0083137C"/>
    <w:rsid w:val="008313BF"/>
    <w:rsid w:val="00831545"/>
    <w:rsid w:val="00831A68"/>
    <w:rsid w:val="00831C06"/>
    <w:rsid w:val="00831D94"/>
    <w:rsid w:val="00831E9C"/>
    <w:rsid w:val="008324E4"/>
    <w:rsid w:val="0083250F"/>
    <w:rsid w:val="008327F0"/>
    <w:rsid w:val="008327F1"/>
    <w:rsid w:val="00832A0A"/>
    <w:rsid w:val="00832DBD"/>
    <w:rsid w:val="00832DC9"/>
    <w:rsid w:val="008333F3"/>
    <w:rsid w:val="0083358B"/>
    <w:rsid w:val="00833792"/>
    <w:rsid w:val="00833ABF"/>
    <w:rsid w:val="00833AC6"/>
    <w:rsid w:val="00833C24"/>
    <w:rsid w:val="00833EEF"/>
    <w:rsid w:val="008342BE"/>
    <w:rsid w:val="008342EA"/>
    <w:rsid w:val="00834346"/>
    <w:rsid w:val="00834518"/>
    <w:rsid w:val="0083453D"/>
    <w:rsid w:val="008345C7"/>
    <w:rsid w:val="00834775"/>
    <w:rsid w:val="00834A16"/>
    <w:rsid w:val="00835017"/>
    <w:rsid w:val="0083541A"/>
    <w:rsid w:val="00835492"/>
    <w:rsid w:val="008355E2"/>
    <w:rsid w:val="0083582B"/>
    <w:rsid w:val="008359D6"/>
    <w:rsid w:val="00835C17"/>
    <w:rsid w:val="008365F8"/>
    <w:rsid w:val="00836764"/>
    <w:rsid w:val="0083691D"/>
    <w:rsid w:val="00836958"/>
    <w:rsid w:val="0083696A"/>
    <w:rsid w:val="00836A0C"/>
    <w:rsid w:val="00836AF5"/>
    <w:rsid w:val="00836E89"/>
    <w:rsid w:val="00837246"/>
    <w:rsid w:val="008373E2"/>
    <w:rsid w:val="008375B1"/>
    <w:rsid w:val="00837AA2"/>
    <w:rsid w:val="00837C40"/>
    <w:rsid w:val="00837C91"/>
    <w:rsid w:val="0084030C"/>
    <w:rsid w:val="00840A27"/>
    <w:rsid w:val="00840FB4"/>
    <w:rsid w:val="00840FE8"/>
    <w:rsid w:val="0084103C"/>
    <w:rsid w:val="00841093"/>
    <w:rsid w:val="008411A9"/>
    <w:rsid w:val="00841244"/>
    <w:rsid w:val="0084154C"/>
    <w:rsid w:val="0084175D"/>
    <w:rsid w:val="00841842"/>
    <w:rsid w:val="00841859"/>
    <w:rsid w:val="00841863"/>
    <w:rsid w:val="008418BC"/>
    <w:rsid w:val="00841DD9"/>
    <w:rsid w:val="008420BA"/>
    <w:rsid w:val="008421A8"/>
    <w:rsid w:val="00842379"/>
    <w:rsid w:val="008423E3"/>
    <w:rsid w:val="008425E3"/>
    <w:rsid w:val="0084266F"/>
    <w:rsid w:val="008428B7"/>
    <w:rsid w:val="00842C94"/>
    <w:rsid w:val="00842D3A"/>
    <w:rsid w:val="00842E41"/>
    <w:rsid w:val="00842ED4"/>
    <w:rsid w:val="008433F1"/>
    <w:rsid w:val="0084364C"/>
    <w:rsid w:val="0084364F"/>
    <w:rsid w:val="0084366F"/>
    <w:rsid w:val="008437F2"/>
    <w:rsid w:val="00843A45"/>
    <w:rsid w:val="00843CD9"/>
    <w:rsid w:val="00843D68"/>
    <w:rsid w:val="00843F60"/>
    <w:rsid w:val="00844033"/>
    <w:rsid w:val="00844366"/>
    <w:rsid w:val="008444D4"/>
    <w:rsid w:val="00844789"/>
    <w:rsid w:val="008447F9"/>
    <w:rsid w:val="00844B7B"/>
    <w:rsid w:val="00844CA4"/>
    <w:rsid w:val="00845124"/>
    <w:rsid w:val="008453FC"/>
    <w:rsid w:val="0084570C"/>
    <w:rsid w:val="0084577E"/>
    <w:rsid w:val="00845856"/>
    <w:rsid w:val="00845DBA"/>
    <w:rsid w:val="00846186"/>
    <w:rsid w:val="0084648F"/>
    <w:rsid w:val="008466AD"/>
    <w:rsid w:val="008469AD"/>
    <w:rsid w:val="00846AE1"/>
    <w:rsid w:val="00846B18"/>
    <w:rsid w:val="00846B81"/>
    <w:rsid w:val="0084705E"/>
    <w:rsid w:val="00847100"/>
    <w:rsid w:val="008472FE"/>
    <w:rsid w:val="008475A2"/>
    <w:rsid w:val="008479EF"/>
    <w:rsid w:val="00847FEE"/>
    <w:rsid w:val="0085009D"/>
    <w:rsid w:val="008500D4"/>
    <w:rsid w:val="00850134"/>
    <w:rsid w:val="00850294"/>
    <w:rsid w:val="0085035B"/>
    <w:rsid w:val="0085078D"/>
    <w:rsid w:val="008507A4"/>
    <w:rsid w:val="00850ADF"/>
    <w:rsid w:val="00850BE6"/>
    <w:rsid w:val="00850D2C"/>
    <w:rsid w:val="00850D99"/>
    <w:rsid w:val="0085122E"/>
    <w:rsid w:val="00851366"/>
    <w:rsid w:val="00851422"/>
    <w:rsid w:val="00851BC1"/>
    <w:rsid w:val="00851EB1"/>
    <w:rsid w:val="00851F4A"/>
    <w:rsid w:val="00852336"/>
    <w:rsid w:val="00852452"/>
    <w:rsid w:val="00852475"/>
    <w:rsid w:val="00852585"/>
    <w:rsid w:val="008525A5"/>
    <w:rsid w:val="00852C35"/>
    <w:rsid w:val="00852F27"/>
    <w:rsid w:val="008530DC"/>
    <w:rsid w:val="008531CF"/>
    <w:rsid w:val="00853958"/>
    <w:rsid w:val="00853969"/>
    <w:rsid w:val="00853CF1"/>
    <w:rsid w:val="008541C7"/>
    <w:rsid w:val="008542BA"/>
    <w:rsid w:val="008542F0"/>
    <w:rsid w:val="00854593"/>
    <w:rsid w:val="00854778"/>
    <w:rsid w:val="00854B54"/>
    <w:rsid w:val="00854B66"/>
    <w:rsid w:val="0085516F"/>
    <w:rsid w:val="008551DD"/>
    <w:rsid w:val="00855665"/>
    <w:rsid w:val="00855B84"/>
    <w:rsid w:val="00855C2A"/>
    <w:rsid w:val="00855DCB"/>
    <w:rsid w:val="00855E01"/>
    <w:rsid w:val="00855E25"/>
    <w:rsid w:val="00855E7F"/>
    <w:rsid w:val="0085606C"/>
    <w:rsid w:val="00856109"/>
    <w:rsid w:val="008562CE"/>
    <w:rsid w:val="008564F4"/>
    <w:rsid w:val="00856533"/>
    <w:rsid w:val="00856666"/>
    <w:rsid w:val="008567E5"/>
    <w:rsid w:val="00856807"/>
    <w:rsid w:val="008575B0"/>
    <w:rsid w:val="00857718"/>
    <w:rsid w:val="00857C00"/>
    <w:rsid w:val="00857E76"/>
    <w:rsid w:val="008604FD"/>
    <w:rsid w:val="0086050B"/>
    <w:rsid w:val="00860762"/>
    <w:rsid w:val="008609D2"/>
    <w:rsid w:val="00860A34"/>
    <w:rsid w:val="00860B38"/>
    <w:rsid w:val="00860CDC"/>
    <w:rsid w:val="00860D46"/>
    <w:rsid w:val="00860FCD"/>
    <w:rsid w:val="00861AA2"/>
    <w:rsid w:val="00861AF2"/>
    <w:rsid w:val="00861C16"/>
    <w:rsid w:val="00861EF3"/>
    <w:rsid w:val="0086200D"/>
    <w:rsid w:val="00862057"/>
    <w:rsid w:val="008622F8"/>
    <w:rsid w:val="00862552"/>
    <w:rsid w:val="00862590"/>
    <w:rsid w:val="00862664"/>
    <w:rsid w:val="00862743"/>
    <w:rsid w:val="00862876"/>
    <w:rsid w:val="00862E34"/>
    <w:rsid w:val="00862E3C"/>
    <w:rsid w:val="00862E5D"/>
    <w:rsid w:val="00863042"/>
    <w:rsid w:val="0086339A"/>
    <w:rsid w:val="008638DD"/>
    <w:rsid w:val="00863BC6"/>
    <w:rsid w:val="00863C92"/>
    <w:rsid w:val="00863EDB"/>
    <w:rsid w:val="00864797"/>
    <w:rsid w:val="008647CC"/>
    <w:rsid w:val="00864802"/>
    <w:rsid w:val="008649F8"/>
    <w:rsid w:val="00864B9C"/>
    <w:rsid w:val="00864C46"/>
    <w:rsid w:val="00864F41"/>
    <w:rsid w:val="00865293"/>
    <w:rsid w:val="00865435"/>
    <w:rsid w:val="008656B9"/>
    <w:rsid w:val="00865A0A"/>
    <w:rsid w:val="00865C20"/>
    <w:rsid w:val="00865DFB"/>
    <w:rsid w:val="00866179"/>
    <w:rsid w:val="008661F4"/>
    <w:rsid w:val="0086621F"/>
    <w:rsid w:val="0086664F"/>
    <w:rsid w:val="0086665A"/>
    <w:rsid w:val="008669C9"/>
    <w:rsid w:val="00866AE9"/>
    <w:rsid w:val="00866BF5"/>
    <w:rsid w:val="00866E5D"/>
    <w:rsid w:val="00866F1B"/>
    <w:rsid w:val="00866FE5"/>
    <w:rsid w:val="008670EE"/>
    <w:rsid w:val="008671E1"/>
    <w:rsid w:val="0086737D"/>
    <w:rsid w:val="0086753A"/>
    <w:rsid w:val="0086755A"/>
    <w:rsid w:val="0086773B"/>
    <w:rsid w:val="0086789C"/>
    <w:rsid w:val="0087023F"/>
    <w:rsid w:val="0087045E"/>
    <w:rsid w:val="00870522"/>
    <w:rsid w:val="00870A73"/>
    <w:rsid w:val="00870D04"/>
    <w:rsid w:val="008712FB"/>
    <w:rsid w:val="008715AF"/>
    <w:rsid w:val="0087196E"/>
    <w:rsid w:val="00872305"/>
    <w:rsid w:val="008724FF"/>
    <w:rsid w:val="0087259E"/>
    <w:rsid w:val="00872642"/>
    <w:rsid w:val="00872876"/>
    <w:rsid w:val="00872CF5"/>
    <w:rsid w:val="00872D0F"/>
    <w:rsid w:val="00872E61"/>
    <w:rsid w:val="00872EEB"/>
    <w:rsid w:val="00872F9B"/>
    <w:rsid w:val="00873034"/>
    <w:rsid w:val="00873447"/>
    <w:rsid w:val="00873A2B"/>
    <w:rsid w:val="00873C1C"/>
    <w:rsid w:val="008740C3"/>
    <w:rsid w:val="00874198"/>
    <w:rsid w:val="00874259"/>
    <w:rsid w:val="008744B4"/>
    <w:rsid w:val="00874645"/>
    <w:rsid w:val="00874923"/>
    <w:rsid w:val="00874BC6"/>
    <w:rsid w:val="00875394"/>
    <w:rsid w:val="00875446"/>
    <w:rsid w:val="008755DA"/>
    <w:rsid w:val="0087564B"/>
    <w:rsid w:val="0087584D"/>
    <w:rsid w:val="00875863"/>
    <w:rsid w:val="0087596C"/>
    <w:rsid w:val="00875D36"/>
    <w:rsid w:val="00875DD4"/>
    <w:rsid w:val="0087640F"/>
    <w:rsid w:val="00876D43"/>
    <w:rsid w:val="00876F70"/>
    <w:rsid w:val="00876F8E"/>
    <w:rsid w:val="00877050"/>
    <w:rsid w:val="00877265"/>
    <w:rsid w:val="008772F2"/>
    <w:rsid w:val="00877599"/>
    <w:rsid w:val="008775B9"/>
    <w:rsid w:val="0087789A"/>
    <w:rsid w:val="00877957"/>
    <w:rsid w:val="00877A8C"/>
    <w:rsid w:val="00877D0E"/>
    <w:rsid w:val="00880209"/>
    <w:rsid w:val="0088051F"/>
    <w:rsid w:val="008806C2"/>
    <w:rsid w:val="0088099B"/>
    <w:rsid w:val="00880D10"/>
    <w:rsid w:val="00880DCB"/>
    <w:rsid w:val="00881101"/>
    <w:rsid w:val="0088119B"/>
    <w:rsid w:val="0088129D"/>
    <w:rsid w:val="008812FE"/>
    <w:rsid w:val="00881710"/>
    <w:rsid w:val="0088194E"/>
    <w:rsid w:val="00881C26"/>
    <w:rsid w:val="00882146"/>
    <w:rsid w:val="00882E20"/>
    <w:rsid w:val="00882E4A"/>
    <w:rsid w:val="0088300E"/>
    <w:rsid w:val="008830D4"/>
    <w:rsid w:val="008838C1"/>
    <w:rsid w:val="00883A7E"/>
    <w:rsid w:val="0088406D"/>
    <w:rsid w:val="008843C5"/>
    <w:rsid w:val="008843CA"/>
    <w:rsid w:val="00884425"/>
    <w:rsid w:val="00884AAC"/>
    <w:rsid w:val="00884C23"/>
    <w:rsid w:val="00884EB3"/>
    <w:rsid w:val="008854C2"/>
    <w:rsid w:val="0088556C"/>
    <w:rsid w:val="008856DF"/>
    <w:rsid w:val="00885955"/>
    <w:rsid w:val="008859BC"/>
    <w:rsid w:val="00885A54"/>
    <w:rsid w:val="00885B56"/>
    <w:rsid w:val="00885E04"/>
    <w:rsid w:val="00885F0A"/>
    <w:rsid w:val="008862C6"/>
    <w:rsid w:val="0088630B"/>
    <w:rsid w:val="008864A9"/>
    <w:rsid w:val="00886618"/>
    <w:rsid w:val="008867FE"/>
    <w:rsid w:val="0088696A"/>
    <w:rsid w:val="00886A20"/>
    <w:rsid w:val="00886E05"/>
    <w:rsid w:val="00887246"/>
    <w:rsid w:val="00887672"/>
    <w:rsid w:val="00887745"/>
    <w:rsid w:val="008878FB"/>
    <w:rsid w:val="00887CCF"/>
    <w:rsid w:val="00887D1E"/>
    <w:rsid w:val="00887D50"/>
    <w:rsid w:val="00887E69"/>
    <w:rsid w:val="0089047F"/>
    <w:rsid w:val="00890556"/>
    <w:rsid w:val="00890575"/>
    <w:rsid w:val="0089060F"/>
    <w:rsid w:val="00890679"/>
    <w:rsid w:val="008906C7"/>
    <w:rsid w:val="008908C2"/>
    <w:rsid w:val="0089094C"/>
    <w:rsid w:val="00890B4B"/>
    <w:rsid w:val="00890C51"/>
    <w:rsid w:val="00890CF1"/>
    <w:rsid w:val="008916E4"/>
    <w:rsid w:val="00891915"/>
    <w:rsid w:val="00891994"/>
    <w:rsid w:val="00891C70"/>
    <w:rsid w:val="00891C95"/>
    <w:rsid w:val="00891D55"/>
    <w:rsid w:val="00891DBE"/>
    <w:rsid w:val="00891E92"/>
    <w:rsid w:val="00891EB7"/>
    <w:rsid w:val="00892109"/>
    <w:rsid w:val="008921D7"/>
    <w:rsid w:val="0089227C"/>
    <w:rsid w:val="00892334"/>
    <w:rsid w:val="008923DC"/>
    <w:rsid w:val="008924A2"/>
    <w:rsid w:val="00892559"/>
    <w:rsid w:val="008929B9"/>
    <w:rsid w:val="00892DE9"/>
    <w:rsid w:val="00893117"/>
    <w:rsid w:val="008932B3"/>
    <w:rsid w:val="00893363"/>
    <w:rsid w:val="0089340A"/>
    <w:rsid w:val="008935B1"/>
    <w:rsid w:val="00893BCD"/>
    <w:rsid w:val="00893C75"/>
    <w:rsid w:val="00893E57"/>
    <w:rsid w:val="00893E7C"/>
    <w:rsid w:val="00893F38"/>
    <w:rsid w:val="00893FC8"/>
    <w:rsid w:val="0089471B"/>
    <w:rsid w:val="00894E8A"/>
    <w:rsid w:val="0089527B"/>
    <w:rsid w:val="00895358"/>
    <w:rsid w:val="00895535"/>
    <w:rsid w:val="008957CC"/>
    <w:rsid w:val="00895B1F"/>
    <w:rsid w:val="00895E6B"/>
    <w:rsid w:val="008960CD"/>
    <w:rsid w:val="0089687E"/>
    <w:rsid w:val="008968EB"/>
    <w:rsid w:val="00896EE6"/>
    <w:rsid w:val="00896F61"/>
    <w:rsid w:val="0089712D"/>
    <w:rsid w:val="008971E9"/>
    <w:rsid w:val="00897255"/>
    <w:rsid w:val="008972B0"/>
    <w:rsid w:val="00897404"/>
    <w:rsid w:val="008979BE"/>
    <w:rsid w:val="00897F1E"/>
    <w:rsid w:val="008A0117"/>
    <w:rsid w:val="008A018D"/>
    <w:rsid w:val="008A01AB"/>
    <w:rsid w:val="008A0CA2"/>
    <w:rsid w:val="008A0F43"/>
    <w:rsid w:val="008A1126"/>
    <w:rsid w:val="008A149A"/>
    <w:rsid w:val="008A199B"/>
    <w:rsid w:val="008A1C3A"/>
    <w:rsid w:val="008A1D84"/>
    <w:rsid w:val="008A22F3"/>
    <w:rsid w:val="008A2746"/>
    <w:rsid w:val="008A274A"/>
    <w:rsid w:val="008A2761"/>
    <w:rsid w:val="008A290A"/>
    <w:rsid w:val="008A30C1"/>
    <w:rsid w:val="008A3604"/>
    <w:rsid w:val="008A36C9"/>
    <w:rsid w:val="008A39B4"/>
    <w:rsid w:val="008A3DFA"/>
    <w:rsid w:val="008A4066"/>
    <w:rsid w:val="008A4116"/>
    <w:rsid w:val="008A41FE"/>
    <w:rsid w:val="008A4378"/>
    <w:rsid w:val="008A4536"/>
    <w:rsid w:val="008A4622"/>
    <w:rsid w:val="008A4981"/>
    <w:rsid w:val="008A4BB8"/>
    <w:rsid w:val="008A4F2D"/>
    <w:rsid w:val="008A4FF1"/>
    <w:rsid w:val="008A546F"/>
    <w:rsid w:val="008A56B6"/>
    <w:rsid w:val="008A56EC"/>
    <w:rsid w:val="008A59B3"/>
    <w:rsid w:val="008A5B83"/>
    <w:rsid w:val="008A5E2C"/>
    <w:rsid w:val="008A5FD0"/>
    <w:rsid w:val="008A6027"/>
    <w:rsid w:val="008A606A"/>
    <w:rsid w:val="008A6106"/>
    <w:rsid w:val="008A6230"/>
    <w:rsid w:val="008A62E7"/>
    <w:rsid w:val="008A6504"/>
    <w:rsid w:val="008A6851"/>
    <w:rsid w:val="008A6852"/>
    <w:rsid w:val="008A6D9A"/>
    <w:rsid w:val="008A6FAA"/>
    <w:rsid w:val="008A7307"/>
    <w:rsid w:val="008A7390"/>
    <w:rsid w:val="008A7606"/>
    <w:rsid w:val="008A7821"/>
    <w:rsid w:val="008A7920"/>
    <w:rsid w:val="008A7A4E"/>
    <w:rsid w:val="008A7A74"/>
    <w:rsid w:val="008A7D43"/>
    <w:rsid w:val="008A7D64"/>
    <w:rsid w:val="008A7F42"/>
    <w:rsid w:val="008B0054"/>
    <w:rsid w:val="008B00B3"/>
    <w:rsid w:val="008B0136"/>
    <w:rsid w:val="008B062D"/>
    <w:rsid w:val="008B06CA"/>
    <w:rsid w:val="008B06DE"/>
    <w:rsid w:val="008B072B"/>
    <w:rsid w:val="008B07BD"/>
    <w:rsid w:val="008B0AF2"/>
    <w:rsid w:val="008B0AFE"/>
    <w:rsid w:val="008B0C6D"/>
    <w:rsid w:val="008B0DDF"/>
    <w:rsid w:val="008B0F63"/>
    <w:rsid w:val="008B122A"/>
    <w:rsid w:val="008B1490"/>
    <w:rsid w:val="008B1579"/>
    <w:rsid w:val="008B170A"/>
    <w:rsid w:val="008B1872"/>
    <w:rsid w:val="008B1B60"/>
    <w:rsid w:val="008B1CE0"/>
    <w:rsid w:val="008B1EF6"/>
    <w:rsid w:val="008B1FDB"/>
    <w:rsid w:val="008B20F7"/>
    <w:rsid w:val="008B2479"/>
    <w:rsid w:val="008B2856"/>
    <w:rsid w:val="008B28D1"/>
    <w:rsid w:val="008B299A"/>
    <w:rsid w:val="008B2BC7"/>
    <w:rsid w:val="008B2CFA"/>
    <w:rsid w:val="008B3039"/>
    <w:rsid w:val="008B314F"/>
    <w:rsid w:val="008B31FE"/>
    <w:rsid w:val="008B338E"/>
    <w:rsid w:val="008B34D2"/>
    <w:rsid w:val="008B3586"/>
    <w:rsid w:val="008B35A8"/>
    <w:rsid w:val="008B38E7"/>
    <w:rsid w:val="008B3AA1"/>
    <w:rsid w:val="008B3BFA"/>
    <w:rsid w:val="008B40FB"/>
    <w:rsid w:val="008B4393"/>
    <w:rsid w:val="008B489F"/>
    <w:rsid w:val="008B48EE"/>
    <w:rsid w:val="008B4F51"/>
    <w:rsid w:val="008B53BE"/>
    <w:rsid w:val="008B5415"/>
    <w:rsid w:val="008B548F"/>
    <w:rsid w:val="008B54E4"/>
    <w:rsid w:val="008B5761"/>
    <w:rsid w:val="008B57B0"/>
    <w:rsid w:val="008B58C3"/>
    <w:rsid w:val="008B5A1A"/>
    <w:rsid w:val="008B5E45"/>
    <w:rsid w:val="008B5EFD"/>
    <w:rsid w:val="008B5F9A"/>
    <w:rsid w:val="008B6095"/>
    <w:rsid w:val="008B6E8A"/>
    <w:rsid w:val="008B70B0"/>
    <w:rsid w:val="008B70B6"/>
    <w:rsid w:val="008B70B7"/>
    <w:rsid w:val="008B7715"/>
    <w:rsid w:val="008B7812"/>
    <w:rsid w:val="008B78D9"/>
    <w:rsid w:val="008B7D04"/>
    <w:rsid w:val="008B7E39"/>
    <w:rsid w:val="008C0049"/>
    <w:rsid w:val="008C0091"/>
    <w:rsid w:val="008C00B0"/>
    <w:rsid w:val="008C04C0"/>
    <w:rsid w:val="008C04E7"/>
    <w:rsid w:val="008C060D"/>
    <w:rsid w:val="008C0643"/>
    <w:rsid w:val="008C079B"/>
    <w:rsid w:val="008C0800"/>
    <w:rsid w:val="008C08CD"/>
    <w:rsid w:val="008C09B6"/>
    <w:rsid w:val="008C0A18"/>
    <w:rsid w:val="008C0ABC"/>
    <w:rsid w:val="008C0AE5"/>
    <w:rsid w:val="008C0FD6"/>
    <w:rsid w:val="008C103A"/>
    <w:rsid w:val="008C113C"/>
    <w:rsid w:val="008C14EE"/>
    <w:rsid w:val="008C1526"/>
    <w:rsid w:val="008C16CA"/>
    <w:rsid w:val="008C17C5"/>
    <w:rsid w:val="008C1946"/>
    <w:rsid w:val="008C1A41"/>
    <w:rsid w:val="008C2E6D"/>
    <w:rsid w:val="008C313D"/>
    <w:rsid w:val="008C331C"/>
    <w:rsid w:val="008C3374"/>
    <w:rsid w:val="008C3506"/>
    <w:rsid w:val="008C3728"/>
    <w:rsid w:val="008C383A"/>
    <w:rsid w:val="008C385F"/>
    <w:rsid w:val="008C386C"/>
    <w:rsid w:val="008C395D"/>
    <w:rsid w:val="008C4080"/>
    <w:rsid w:val="008C44A8"/>
    <w:rsid w:val="008C44D1"/>
    <w:rsid w:val="008C4777"/>
    <w:rsid w:val="008C4A30"/>
    <w:rsid w:val="008C4B82"/>
    <w:rsid w:val="008C4BDC"/>
    <w:rsid w:val="008C5298"/>
    <w:rsid w:val="008C529D"/>
    <w:rsid w:val="008C52F9"/>
    <w:rsid w:val="008C5350"/>
    <w:rsid w:val="008C5451"/>
    <w:rsid w:val="008C54EC"/>
    <w:rsid w:val="008C5750"/>
    <w:rsid w:val="008C5819"/>
    <w:rsid w:val="008C5A2E"/>
    <w:rsid w:val="008C5A6C"/>
    <w:rsid w:val="008C5D61"/>
    <w:rsid w:val="008C5EAC"/>
    <w:rsid w:val="008C5EFB"/>
    <w:rsid w:val="008C61AC"/>
    <w:rsid w:val="008C62DF"/>
    <w:rsid w:val="008C662B"/>
    <w:rsid w:val="008C67F5"/>
    <w:rsid w:val="008C685F"/>
    <w:rsid w:val="008C69F9"/>
    <w:rsid w:val="008C6A63"/>
    <w:rsid w:val="008C6A90"/>
    <w:rsid w:val="008C6E38"/>
    <w:rsid w:val="008C721E"/>
    <w:rsid w:val="008C72C2"/>
    <w:rsid w:val="008C76DA"/>
    <w:rsid w:val="008C776B"/>
    <w:rsid w:val="008C795D"/>
    <w:rsid w:val="008C7994"/>
    <w:rsid w:val="008C7CC2"/>
    <w:rsid w:val="008C7EA8"/>
    <w:rsid w:val="008C7FA1"/>
    <w:rsid w:val="008D06EB"/>
    <w:rsid w:val="008D0C3D"/>
    <w:rsid w:val="008D0F3F"/>
    <w:rsid w:val="008D1284"/>
    <w:rsid w:val="008D1720"/>
    <w:rsid w:val="008D1C7E"/>
    <w:rsid w:val="008D1D9B"/>
    <w:rsid w:val="008D1E16"/>
    <w:rsid w:val="008D1F84"/>
    <w:rsid w:val="008D21B2"/>
    <w:rsid w:val="008D22D6"/>
    <w:rsid w:val="008D25C4"/>
    <w:rsid w:val="008D26BB"/>
    <w:rsid w:val="008D2712"/>
    <w:rsid w:val="008D27A7"/>
    <w:rsid w:val="008D2CB5"/>
    <w:rsid w:val="008D39A4"/>
    <w:rsid w:val="008D3BCA"/>
    <w:rsid w:val="008D3E29"/>
    <w:rsid w:val="008D3F3E"/>
    <w:rsid w:val="008D3F89"/>
    <w:rsid w:val="008D40CB"/>
    <w:rsid w:val="008D4461"/>
    <w:rsid w:val="008D44D4"/>
    <w:rsid w:val="008D484F"/>
    <w:rsid w:val="008D4A57"/>
    <w:rsid w:val="008D4B80"/>
    <w:rsid w:val="008D4E9A"/>
    <w:rsid w:val="008D5123"/>
    <w:rsid w:val="008D52BD"/>
    <w:rsid w:val="008D5D8E"/>
    <w:rsid w:val="008D6458"/>
    <w:rsid w:val="008D6491"/>
    <w:rsid w:val="008D67B1"/>
    <w:rsid w:val="008D68C1"/>
    <w:rsid w:val="008D6A10"/>
    <w:rsid w:val="008D6A6A"/>
    <w:rsid w:val="008D6A7B"/>
    <w:rsid w:val="008D6E3D"/>
    <w:rsid w:val="008D730C"/>
    <w:rsid w:val="008D7390"/>
    <w:rsid w:val="008D7452"/>
    <w:rsid w:val="008D7578"/>
    <w:rsid w:val="008D7786"/>
    <w:rsid w:val="008D77C8"/>
    <w:rsid w:val="008D79C1"/>
    <w:rsid w:val="008D7AD5"/>
    <w:rsid w:val="008D7C46"/>
    <w:rsid w:val="008D7DAB"/>
    <w:rsid w:val="008D7E0B"/>
    <w:rsid w:val="008E096C"/>
    <w:rsid w:val="008E09F5"/>
    <w:rsid w:val="008E0AF7"/>
    <w:rsid w:val="008E117F"/>
    <w:rsid w:val="008E12A9"/>
    <w:rsid w:val="008E13E2"/>
    <w:rsid w:val="008E1576"/>
    <w:rsid w:val="008E1D69"/>
    <w:rsid w:val="008E1E9A"/>
    <w:rsid w:val="008E20C1"/>
    <w:rsid w:val="008E214F"/>
    <w:rsid w:val="008E2537"/>
    <w:rsid w:val="008E2819"/>
    <w:rsid w:val="008E294A"/>
    <w:rsid w:val="008E29F8"/>
    <w:rsid w:val="008E33C1"/>
    <w:rsid w:val="008E356D"/>
    <w:rsid w:val="008E375E"/>
    <w:rsid w:val="008E38E6"/>
    <w:rsid w:val="008E45E9"/>
    <w:rsid w:val="008E45EC"/>
    <w:rsid w:val="008E4D9A"/>
    <w:rsid w:val="008E4E4D"/>
    <w:rsid w:val="008E4F91"/>
    <w:rsid w:val="008E5177"/>
    <w:rsid w:val="008E5285"/>
    <w:rsid w:val="008E5722"/>
    <w:rsid w:val="008E57D6"/>
    <w:rsid w:val="008E58C5"/>
    <w:rsid w:val="008E58C9"/>
    <w:rsid w:val="008E5FDE"/>
    <w:rsid w:val="008E6351"/>
    <w:rsid w:val="008E6576"/>
    <w:rsid w:val="008E660B"/>
    <w:rsid w:val="008E662B"/>
    <w:rsid w:val="008E6721"/>
    <w:rsid w:val="008E6762"/>
    <w:rsid w:val="008E6925"/>
    <w:rsid w:val="008E6930"/>
    <w:rsid w:val="008E6E5E"/>
    <w:rsid w:val="008E6F85"/>
    <w:rsid w:val="008E705A"/>
    <w:rsid w:val="008E72D7"/>
    <w:rsid w:val="008E76BB"/>
    <w:rsid w:val="008E79BE"/>
    <w:rsid w:val="008E7A5A"/>
    <w:rsid w:val="008F03BA"/>
    <w:rsid w:val="008F0569"/>
    <w:rsid w:val="008F065B"/>
    <w:rsid w:val="008F0678"/>
    <w:rsid w:val="008F069B"/>
    <w:rsid w:val="008F06B2"/>
    <w:rsid w:val="008F0845"/>
    <w:rsid w:val="008F0C34"/>
    <w:rsid w:val="008F0E58"/>
    <w:rsid w:val="008F149F"/>
    <w:rsid w:val="008F1802"/>
    <w:rsid w:val="008F1F1F"/>
    <w:rsid w:val="008F252E"/>
    <w:rsid w:val="008F2576"/>
    <w:rsid w:val="008F266D"/>
    <w:rsid w:val="008F26B3"/>
    <w:rsid w:val="008F273F"/>
    <w:rsid w:val="008F2789"/>
    <w:rsid w:val="008F298F"/>
    <w:rsid w:val="008F29E2"/>
    <w:rsid w:val="008F2BB2"/>
    <w:rsid w:val="008F2F09"/>
    <w:rsid w:val="008F2F1E"/>
    <w:rsid w:val="008F2FD4"/>
    <w:rsid w:val="008F31F9"/>
    <w:rsid w:val="008F33F2"/>
    <w:rsid w:val="008F3533"/>
    <w:rsid w:val="008F3661"/>
    <w:rsid w:val="008F393C"/>
    <w:rsid w:val="008F3AA2"/>
    <w:rsid w:val="008F3DF9"/>
    <w:rsid w:val="008F3E19"/>
    <w:rsid w:val="008F4001"/>
    <w:rsid w:val="008F4282"/>
    <w:rsid w:val="008F429B"/>
    <w:rsid w:val="008F4666"/>
    <w:rsid w:val="008F486C"/>
    <w:rsid w:val="008F486F"/>
    <w:rsid w:val="008F4D66"/>
    <w:rsid w:val="008F4E22"/>
    <w:rsid w:val="008F4EE8"/>
    <w:rsid w:val="008F4FEA"/>
    <w:rsid w:val="008F50F9"/>
    <w:rsid w:val="008F5276"/>
    <w:rsid w:val="008F53E4"/>
    <w:rsid w:val="008F53EA"/>
    <w:rsid w:val="008F5430"/>
    <w:rsid w:val="008F54D2"/>
    <w:rsid w:val="008F5553"/>
    <w:rsid w:val="008F5E1C"/>
    <w:rsid w:val="008F5EEE"/>
    <w:rsid w:val="008F5F6D"/>
    <w:rsid w:val="008F6018"/>
    <w:rsid w:val="008F6065"/>
    <w:rsid w:val="008F61DB"/>
    <w:rsid w:val="008F631B"/>
    <w:rsid w:val="008F6805"/>
    <w:rsid w:val="008F6B5A"/>
    <w:rsid w:val="008F7160"/>
    <w:rsid w:val="008F719C"/>
    <w:rsid w:val="008F7739"/>
    <w:rsid w:val="008F78D3"/>
    <w:rsid w:val="008F7913"/>
    <w:rsid w:val="008F7A09"/>
    <w:rsid w:val="008F7D58"/>
    <w:rsid w:val="008F7D5A"/>
    <w:rsid w:val="008F7ECD"/>
    <w:rsid w:val="009001C7"/>
    <w:rsid w:val="00900638"/>
    <w:rsid w:val="009006B5"/>
    <w:rsid w:val="00900877"/>
    <w:rsid w:val="0090105D"/>
    <w:rsid w:val="0090163C"/>
    <w:rsid w:val="00901D77"/>
    <w:rsid w:val="00901E40"/>
    <w:rsid w:val="00901E88"/>
    <w:rsid w:val="00901F1F"/>
    <w:rsid w:val="00901FCA"/>
    <w:rsid w:val="009020F6"/>
    <w:rsid w:val="0090231A"/>
    <w:rsid w:val="00902539"/>
    <w:rsid w:val="00902B10"/>
    <w:rsid w:val="00902C96"/>
    <w:rsid w:val="009031C3"/>
    <w:rsid w:val="0090320F"/>
    <w:rsid w:val="009032FA"/>
    <w:rsid w:val="009035F8"/>
    <w:rsid w:val="00903711"/>
    <w:rsid w:val="0090380C"/>
    <w:rsid w:val="00903CE1"/>
    <w:rsid w:val="00903DB2"/>
    <w:rsid w:val="00903E5F"/>
    <w:rsid w:val="00903E9A"/>
    <w:rsid w:val="0090434F"/>
    <w:rsid w:val="00904450"/>
    <w:rsid w:val="00904616"/>
    <w:rsid w:val="009046D3"/>
    <w:rsid w:val="00904883"/>
    <w:rsid w:val="00904CF3"/>
    <w:rsid w:val="00905065"/>
    <w:rsid w:val="00905190"/>
    <w:rsid w:val="00905429"/>
    <w:rsid w:val="00905D02"/>
    <w:rsid w:val="00905D1A"/>
    <w:rsid w:val="0090617A"/>
    <w:rsid w:val="009067A5"/>
    <w:rsid w:val="00906C2F"/>
    <w:rsid w:val="0090710B"/>
    <w:rsid w:val="00907121"/>
    <w:rsid w:val="00907ADA"/>
    <w:rsid w:val="00910503"/>
    <w:rsid w:val="0091083A"/>
    <w:rsid w:val="009108A7"/>
    <w:rsid w:val="00910902"/>
    <w:rsid w:val="00910A2B"/>
    <w:rsid w:val="00910BED"/>
    <w:rsid w:val="00911094"/>
    <w:rsid w:val="009112C0"/>
    <w:rsid w:val="009113B4"/>
    <w:rsid w:val="00911A66"/>
    <w:rsid w:val="00911B8E"/>
    <w:rsid w:val="00911C2E"/>
    <w:rsid w:val="0091218E"/>
    <w:rsid w:val="009121DC"/>
    <w:rsid w:val="009122F7"/>
    <w:rsid w:val="00912533"/>
    <w:rsid w:val="00912700"/>
    <w:rsid w:val="00912C8B"/>
    <w:rsid w:val="00912CB8"/>
    <w:rsid w:val="00912FA8"/>
    <w:rsid w:val="009133FE"/>
    <w:rsid w:val="009134C0"/>
    <w:rsid w:val="009134DA"/>
    <w:rsid w:val="009138E6"/>
    <w:rsid w:val="00913922"/>
    <w:rsid w:val="00914120"/>
    <w:rsid w:val="00914385"/>
    <w:rsid w:val="00914A87"/>
    <w:rsid w:val="00914C11"/>
    <w:rsid w:val="00914CB0"/>
    <w:rsid w:val="00915175"/>
    <w:rsid w:val="0091546B"/>
    <w:rsid w:val="0091567D"/>
    <w:rsid w:val="00915693"/>
    <w:rsid w:val="009157C8"/>
    <w:rsid w:val="00915823"/>
    <w:rsid w:val="00915E87"/>
    <w:rsid w:val="00915F78"/>
    <w:rsid w:val="009161E5"/>
    <w:rsid w:val="0091643C"/>
    <w:rsid w:val="0091649A"/>
    <w:rsid w:val="00916A9D"/>
    <w:rsid w:val="00916AAF"/>
    <w:rsid w:val="00916B51"/>
    <w:rsid w:val="00917133"/>
    <w:rsid w:val="00917404"/>
    <w:rsid w:val="00917D27"/>
    <w:rsid w:val="00917E79"/>
    <w:rsid w:val="0092011D"/>
    <w:rsid w:val="00920127"/>
    <w:rsid w:val="009205A0"/>
    <w:rsid w:val="009207F4"/>
    <w:rsid w:val="00920855"/>
    <w:rsid w:val="009209CB"/>
    <w:rsid w:val="00920F43"/>
    <w:rsid w:val="0092101A"/>
    <w:rsid w:val="00921597"/>
    <w:rsid w:val="009218E3"/>
    <w:rsid w:val="00921B1C"/>
    <w:rsid w:val="00921BB2"/>
    <w:rsid w:val="00921D4C"/>
    <w:rsid w:val="00921EDC"/>
    <w:rsid w:val="00922204"/>
    <w:rsid w:val="00922290"/>
    <w:rsid w:val="00922657"/>
    <w:rsid w:val="00922E7A"/>
    <w:rsid w:val="00923267"/>
    <w:rsid w:val="0092327E"/>
    <w:rsid w:val="00924056"/>
    <w:rsid w:val="009242D5"/>
    <w:rsid w:val="0092478F"/>
    <w:rsid w:val="009249F6"/>
    <w:rsid w:val="00924D91"/>
    <w:rsid w:val="00924FC1"/>
    <w:rsid w:val="009259F9"/>
    <w:rsid w:val="00925ABB"/>
    <w:rsid w:val="00925F92"/>
    <w:rsid w:val="00926381"/>
    <w:rsid w:val="009264D4"/>
    <w:rsid w:val="00926557"/>
    <w:rsid w:val="009265AC"/>
    <w:rsid w:val="0092670F"/>
    <w:rsid w:val="009269CA"/>
    <w:rsid w:val="00926DC8"/>
    <w:rsid w:val="00926E81"/>
    <w:rsid w:val="00926E97"/>
    <w:rsid w:val="00926EFF"/>
    <w:rsid w:val="00927897"/>
    <w:rsid w:val="009279FD"/>
    <w:rsid w:val="00927B3E"/>
    <w:rsid w:val="00927CD4"/>
    <w:rsid w:val="009301DF"/>
    <w:rsid w:val="009306C3"/>
    <w:rsid w:val="00930763"/>
    <w:rsid w:val="009308CB"/>
    <w:rsid w:val="00930A6D"/>
    <w:rsid w:val="00930B53"/>
    <w:rsid w:val="00930C0E"/>
    <w:rsid w:val="00931022"/>
    <w:rsid w:val="0093134D"/>
    <w:rsid w:val="00931417"/>
    <w:rsid w:val="0093157F"/>
    <w:rsid w:val="0093165E"/>
    <w:rsid w:val="00931712"/>
    <w:rsid w:val="00931839"/>
    <w:rsid w:val="009318FF"/>
    <w:rsid w:val="0093205B"/>
    <w:rsid w:val="009321C9"/>
    <w:rsid w:val="009321DD"/>
    <w:rsid w:val="00932A49"/>
    <w:rsid w:val="00932A5E"/>
    <w:rsid w:val="009330EE"/>
    <w:rsid w:val="00933234"/>
    <w:rsid w:val="00933539"/>
    <w:rsid w:val="00933E02"/>
    <w:rsid w:val="00933F7A"/>
    <w:rsid w:val="009341BE"/>
    <w:rsid w:val="0093444B"/>
    <w:rsid w:val="0093444E"/>
    <w:rsid w:val="0093488C"/>
    <w:rsid w:val="00934C88"/>
    <w:rsid w:val="00934D05"/>
    <w:rsid w:val="009350C4"/>
    <w:rsid w:val="00935196"/>
    <w:rsid w:val="009353E1"/>
    <w:rsid w:val="0093547D"/>
    <w:rsid w:val="00935501"/>
    <w:rsid w:val="00935549"/>
    <w:rsid w:val="0093596E"/>
    <w:rsid w:val="00935AF5"/>
    <w:rsid w:val="009365AB"/>
    <w:rsid w:val="009367BC"/>
    <w:rsid w:val="0093695A"/>
    <w:rsid w:val="009369FF"/>
    <w:rsid w:val="00936D8B"/>
    <w:rsid w:val="00936E69"/>
    <w:rsid w:val="00936F41"/>
    <w:rsid w:val="009370F8"/>
    <w:rsid w:val="009372B0"/>
    <w:rsid w:val="009372EA"/>
    <w:rsid w:val="00937B6B"/>
    <w:rsid w:val="00937C4C"/>
    <w:rsid w:val="00937DA2"/>
    <w:rsid w:val="00937EAF"/>
    <w:rsid w:val="00937EF2"/>
    <w:rsid w:val="0094009E"/>
    <w:rsid w:val="009400A2"/>
    <w:rsid w:val="0094022C"/>
    <w:rsid w:val="00940400"/>
    <w:rsid w:val="00940470"/>
    <w:rsid w:val="009406BC"/>
    <w:rsid w:val="00940789"/>
    <w:rsid w:val="0094078D"/>
    <w:rsid w:val="00940BF6"/>
    <w:rsid w:val="00940FD6"/>
    <w:rsid w:val="0094144A"/>
    <w:rsid w:val="0094149F"/>
    <w:rsid w:val="0094186B"/>
    <w:rsid w:val="00941970"/>
    <w:rsid w:val="00941C12"/>
    <w:rsid w:val="00941D70"/>
    <w:rsid w:val="00941EB4"/>
    <w:rsid w:val="00941FEB"/>
    <w:rsid w:val="009421AB"/>
    <w:rsid w:val="009421F7"/>
    <w:rsid w:val="009427A2"/>
    <w:rsid w:val="00942821"/>
    <w:rsid w:val="00942914"/>
    <w:rsid w:val="009429EF"/>
    <w:rsid w:val="009429FF"/>
    <w:rsid w:val="00942DAC"/>
    <w:rsid w:val="00943362"/>
    <w:rsid w:val="00943508"/>
    <w:rsid w:val="0094358B"/>
    <w:rsid w:val="00943A85"/>
    <w:rsid w:val="00943C22"/>
    <w:rsid w:val="0094424E"/>
    <w:rsid w:val="00944284"/>
    <w:rsid w:val="00944426"/>
    <w:rsid w:val="0094449E"/>
    <w:rsid w:val="009445D7"/>
    <w:rsid w:val="00944762"/>
    <w:rsid w:val="00944883"/>
    <w:rsid w:val="00944A6B"/>
    <w:rsid w:val="00944D56"/>
    <w:rsid w:val="00944DA9"/>
    <w:rsid w:val="00944EFB"/>
    <w:rsid w:val="00945053"/>
    <w:rsid w:val="00945058"/>
    <w:rsid w:val="009451E4"/>
    <w:rsid w:val="0094523B"/>
    <w:rsid w:val="009458B8"/>
    <w:rsid w:val="00945AEF"/>
    <w:rsid w:val="00945D5B"/>
    <w:rsid w:val="00945E44"/>
    <w:rsid w:val="009463DA"/>
    <w:rsid w:val="009464DE"/>
    <w:rsid w:val="009464DF"/>
    <w:rsid w:val="00946810"/>
    <w:rsid w:val="00946A40"/>
    <w:rsid w:val="00946B3D"/>
    <w:rsid w:val="00946D56"/>
    <w:rsid w:val="00946E49"/>
    <w:rsid w:val="0094702F"/>
    <w:rsid w:val="009470B7"/>
    <w:rsid w:val="0094710A"/>
    <w:rsid w:val="00947131"/>
    <w:rsid w:val="0094725E"/>
    <w:rsid w:val="0094729F"/>
    <w:rsid w:val="00947519"/>
    <w:rsid w:val="00947652"/>
    <w:rsid w:val="00950250"/>
    <w:rsid w:val="009503DD"/>
    <w:rsid w:val="00950661"/>
    <w:rsid w:val="009507F9"/>
    <w:rsid w:val="00950A8F"/>
    <w:rsid w:val="00950A97"/>
    <w:rsid w:val="00950EB5"/>
    <w:rsid w:val="009517C8"/>
    <w:rsid w:val="00951A75"/>
    <w:rsid w:val="00951B37"/>
    <w:rsid w:val="00951BD9"/>
    <w:rsid w:val="00951D3E"/>
    <w:rsid w:val="00951DD0"/>
    <w:rsid w:val="00951DF4"/>
    <w:rsid w:val="00951EC8"/>
    <w:rsid w:val="009520CA"/>
    <w:rsid w:val="00952716"/>
    <w:rsid w:val="00952749"/>
    <w:rsid w:val="00952793"/>
    <w:rsid w:val="009528D1"/>
    <w:rsid w:val="00952B6A"/>
    <w:rsid w:val="00952EB3"/>
    <w:rsid w:val="0095303A"/>
    <w:rsid w:val="0095352E"/>
    <w:rsid w:val="00953575"/>
    <w:rsid w:val="0095394E"/>
    <w:rsid w:val="00953E94"/>
    <w:rsid w:val="00953EE9"/>
    <w:rsid w:val="00953F32"/>
    <w:rsid w:val="009540F1"/>
    <w:rsid w:val="00954201"/>
    <w:rsid w:val="00954360"/>
    <w:rsid w:val="009548F6"/>
    <w:rsid w:val="0095490B"/>
    <w:rsid w:val="00954ABF"/>
    <w:rsid w:val="00954E7C"/>
    <w:rsid w:val="009550CC"/>
    <w:rsid w:val="0095522A"/>
    <w:rsid w:val="00955FBA"/>
    <w:rsid w:val="00955FD0"/>
    <w:rsid w:val="009564B7"/>
    <w:rsid w:val="0095663B"/>
    <w:rsid w:val="0095670B"/>
    <w:rsid w:val="0095697A"/>
    <w:rsid w:val="00956BAB"/>
    <w:rsid w:val="00956BF8"/>
    <w:rsid w:val="00957055"/>
    <w:rsid w:val="009572BE"/>
    <w:rsid w:val="0095739C"/>
    <w:rsid w:val="0095744E"/>
    <w:rsid w:val="00957668"/>
    <w:rsid w:val="00957924"/>
    <w:rsid w:val="00957AB3"/>
    <w:rsid w:val="00957B28"/>
    <w:rsid w:val="00957CE3"/>
    <w:rsid w:val="00957FE0"/>
    <w:rsid w:val="00960316"/>
    <w:rsid w:val="0096083C"/>
    <w:rsid w:val="00960ABA"/>
    <w:rsid w:val="00960ACB"/>
    <w:rsid w:val="00960C21"/>
    <w:rsid w:val="00960DB2"/>
    <w:rsid w:val="00960EC4"/>
    <w:rsid w:val="0096129E"/>
    <w:rsid w:val="0096182A"/>
    <w:rsid w:val="00961857"/>
    <w:rsid w:val="00961B6B"/>
    <w:rsid w:val="0096269E"/>
    <w:rsid w:val="0096274D"/>
    <w:rsid w:val="0096285E"/>
    <w:rsid w:val="00962960"/>
    <w:rsid w:val="00962AE0"/>
    <w:rsid w:val="00962B36"/>
    <w:rsid w:val="00962D18"/>
    <w:rsid w:val="00962E81"/>
    <w:rsid w:val="00963A07"/>
    <w:rsid w:val="00963E05"/>
    <w:rsid w:val="00963E70"/>
    <w:rsid w:val="00963FA5"/>
    <w:rsid w:val="00963FB3"/>
    <w:rsid w:val="00964083"/>
    <w:rsid w:val="0096415D"/>
    <w:rsid w:val="009641AA"/>
    <w:rsid w:val="0096445F"/>
    <w:rsid w:val="00964605"/>
    <w:rsid w:val="00964726"/>
    <w:rsid w:val="00964833"/>
    <w:rsid w:val="00964DB6"/>
    <w:rsid w:val="00964E06"/>
    <w:rsid w:val="009657B0"/>
    <w:rsid w:val="00965931"/>
    <w:rsid w:val="00965C56"/>
    <w:rsid w:val="00965E47"/>
    <w:rsid w:val="00965E7F"/>
    <w:rsid w:val="00965FE3"/>
    <w:rsid w:val="0096656A"/>
    <w:rsid w:val="00966590"/>
    <w:rsid w:val="00966720"/>
    <w:rsid w:val="00966778"/>
    <w:rsid w:val="00966B7F"/>
    <w:rsid w:val="00966BF0"/>
    <w:rsid w:val="00966C51"/>
    <w:rsid w:val="00966E3F"/>
    <w:rsid w:val="009670B0"/>
    <w:rsid w:val="00967339"/>
    <w:rsid w:val="009676F4"/>
    <w:rsid w:val="00967785"/>
    <w:rsid w:val="00967B6E"/>
    <w:rsid w:val="00967BF2"/>
    <w:rsid w:val="00967E7D"/>
    <w:rsid w:val="00967F05"/>
    <w:rsid w:val="00967F92"/>
    <w:rsid w:val="00967FF7"/>
    <w:rsid w:val="00970420"/>
    <w:rsid w:val="009704F4"/>
    <w:rsid w:val="00970627"/>
    <w:rsid w:val="009708FB"/>
    <w:rsid w:val="00970DA5"/>
    <w:rsid w:val="0097140D"/>
    <w:rsid w:val="00971468"/>
    <w:rsid w:val="009716EC"/>
    <w:rsid w:val="00971C72"/>
    <w:rsid w:val="00971FBD"/>
    <w:rsid w:val="00972189"/>
    <w:rsid w:val="00972284"/>
    <w:rsid w:val="00972342"/>
    <w:rsid w:val="0097263C"/>
    <w:rsid w:val="0097269D"/>
    <w:rsid w:val="009727CB"/>
    <w:rsid w:val="009728B7"/>
    <w:rsid w:val="00972FF6"/>
    <w:rsid w:val="0097314A"/>
    <w:rsid w:val="00973458"/>
    <w:rsid w:val="00973510"/>
    <w:rsid w:val="0097381B"/>
    <w:rsid w:val="00973DAD"/>
    <w:rsid w:val="00973F30"/>
    <w:rsid w:val="0097408B"/>
    <w:rsid w:val="009747D5"/>
    <w:rsid w:val="009747E0"/>
    <w:rsid w:val="00974CC2"/>
    <w:rsid w:val="0097522B"/>
    <w:rsid w:val="0097539C"/>
    <w:rsid w:val="00975487"/>
    <w:rsid w:val="009758EF"/>
    <w:rsid w:val="00975C21"/>
    <w:rsid w:val="00975E8D"/>
    <w:rsid w:val="00976066"/>
    <w:rsid w:val="00976341"/>
    <w:rsid w:val="009765F8"/>
    <w:rsid w:val="0097666B"/>
    <w:rsid w:val="00976F35"/>
    <w:rsid w:val="00977042"/>
    <w:rsid w:val="00977150"/>
    <w:rsid w:val="00977208"/>
    <w:rsid w:val="00977D4E"/>
    <w:rsid w:val="00977F64"/>
    <w:rsid w:val="00977FA8"/>
    <w:rsid w:val="00980102"/>
    <w:rsid w:val="009801D9"/>
    <w:rsid w:val="009802D5"/>
    <w:rsid w:val="00980334"/>
    <w:rsid w:val="0098041E"/>
    <w:rsid w:val="009807D9"/>
    <w:rsid w:val="009807F9"/>
    <w:rsid w:val="00980A38"/>
    <w:rsid w:val="00980AE1"/>
    <w:rsid w:val="00980BD9"/>
    <w:rsid w:val="00980D4F"/>
    <w:rsid w:val="00980DE9"/>
    <w:rsid w:val="00980E31"/>
    <w:rsid w:val="0098101F"/>
    <w:rsid w:val="009811F5"/>
    <w:rsid w:val="0098128D"/>
    <w:rsid w:val="009812D2"/>
    <w:rsid w:val="009813F5"/>
    <w:rsid w:val="009815D6"/>
    <w:rsid w:val="0098195B"/>
    <w:rsid w:val="00981BC6"/>
    <w:rsid w:val="00981C8E"/>
    <w:rsid w:val="009820CC"/>
    <w:rsid w:val="009820E9"/>
    <w:rsid w:val="00982554"/>
    <w:rsid w:val="00982887"/>
    <w:rsid w:val="009828B5"/>
    <w:rsid w:val="009828E8"/>
    <w:rsid w:val="009829AE"/>
    <w:rsid w:val="00983013"/>
    <w:rsid w:val="00983855"/>
    <w:rsid w:val="00983C09"/>
    <w:rsid w:val="00983EC5"/>
    <w:rsid w:val="00983FC3"/>
    <w:rsid w:val="00984153"/>
    <w:rsid w:val="009841DE"/>
    <w:rsid w:val="00984241"/>
    <w:rsid w:val="00984434"/>
    <w:rsid w:val="009844C0"/>
    <w:rsid w:val="009845BF"/>
    <w:rsid w:val="009849B3"/>
    <w:rsid w:val="00984BC8"/>
    <w:rsid w:val="00984D27"/>
    <w:rsid w:val="00984F3D"/>
    <w:rsid w:val="009853DE"/>
    <w:rsid w:val="00985521"/>
    <w:rsid w:val="00985580"/>
    <w:rsid w:val="009866DD"/>
    <w:rsid w:val="009868E6"/>
    <w:rsid w:val="00986AD7"/>
    <w:rsid w:val="00986B13"/>
    <w:rsid w:val="009870DF"/>
    <w:rsid w:val="00987902"/>
    <w:rsid w:val="00987AB7"/>
    <w:rsid w:val="00987BCA"/>
    <w:rsid w:val="00987D17"/>
    <w:rsid w:val="00987D37"/>
    <w:rsid w:val="00987DF8"/>
    <w:rsid w:val="00987FC2"/>
    <w:rsid w:val="009901C6"/>
    <w:rsid w:val="009903B7"/>
    <w:rsid w:val="00990670"/>
    <w:rsid w:val="00990718"/>
    <w:rsid w:val="009908EC"/>
    <w:rsid w:val="00990A2C"/>
    <w:rsid w:val="00990A41"/>
    <w:rsid w:val="00990A57"/>
    <w:rsid w:val="00990DCF"/>
    <w:rsid w:val="00990E53"/>
    <w:rsid w:val="00990F07"/>
    <w:rsid w:val="0099128B"/>
    <w:rsid w:val="00991400"/>
    <w:rsid w:val="00991644"/>
    <w:rsid w:val="00991E54"/>
    <w:rsid w:val="00991E7D"/>
    <w:rsid w:val="00992041"/>
    <w:rsid w:val="00992768"/>
    <w:rsid w:val="00992849"/>
    <w:rsid w:val="0099287F"/>
    <w:rsid w:val="00992A27"/>
    <w:rsid w:val="00992B85"/>
    <w:rsid w:val="00992D48"/>
    <w:rsid w:val="009930EA"/>
    <w:rsid w:val="0099312A"/>
    <w:rsid w:val="009931E6"/>
    <w:rsid w:val="009933BE"/>
    <w:rsid w:val="009936D5"/>
    <w:rsid w:val="009937E3"/>
    <w:rsid w:val="00993918"/>
    <w:rsid w:val="00993CAB"/>
    <w:rsid w:val="00993DD4"/>
    <w:rsid w:val="00993DFA"/>
    <w:rsid w:val="009942C5"/>
    <w:rsid w:val="0099440C"/>
    <w:rsid w:val="009948A7"/>
    <w:rsid w:val="00994CD7"/>
    <w:rsid w:val="0099509B"/>
    <w:rsid w:val="00995271"/>
    <w:rsid w:val="009952A3"/>
    <w:rsid w:val="00995594"/>
    <w:rsid w:val="009957F2"/>
    <w:rsid w:val="00995814"/>
    <w:rsid w:val="00995AA1"/>
    <w:rsid w:val="0099600B"/>
    <w:rsid w:val="0099617D"/>
    <w:rsid w:val="009962EF"/>
    <w:rsid w:val="00996347"/>
    <w:rsid w:val="00996464"/>
    <w:rsid w:val="0099646E"/>
    <w:rsid w:val="00996777"/>
    <w:rsid w:val="00997C95"/>
    <w:rsid w:val="00997DCE"/>
    <w:rsid w:val="009A0255"/>
    <w:rsid w:val="009A0361"/>
    <w:rsid w:val="009A0479"/>
    <w:rsid w:val="009A06C4"/>
    <w:rsid w:val="009A07B3"/>
    <w:rsid w:val="009A0906"/>
    <w:rsid w:val="009A1337"/>
    <w:rsid w:val="009A13B3"/>
    <w:rsid w:val="009A1699"/>
    <w:rsid w:val="009A16E2"/>
    <w:rsid w:val="009A1A10"/>
    <w:rsid w:val="009A1D31"/>
    <w:rsid w:val="009A20FE"/>
    <w:rsid w:val="009A24EF"/>
    <w:rsid w:val="009A2958"/>
    <w:rsid w:val="009A2A11"/>
    <w:rsid w:val="009A2A20"/>
    <w:rsid w:val="009A2B6F"/>
    <w:rsid w:val="009A30B0"/>
    <w:rsid w:val="009A3442"/>
    <w:rsid w:val="009A3594"/>
    <w:rsid w:val="009A3A33"/>
    <w:rsid w:val="009A3A34"/>
    <w:rsid w:val="009A3B62"/>
    <w:rsid w:val="009A4297"/>
    <w:rsid w:val="009A42B4"/>
    <w:rsid w:val="009A42E4"/>
    <w:rsid w:val="009A433C"/>
    <w:rsid w:val="009A4622"/>
    <w:rsid w:val="009A4AF7"/>
    <w:rsid w:val="009A4C55"/>
    <w:rsid w:val="009A50A3"/>
    <w:rsid w:val="009A5435"/>
    <w:rsid w:val="009A5480"/>
    <w:rsid w:val="009A55B1"/>
    <w:rsid w:val="009A5620"/>
    <w:rsid w:val="009A56BE"/>
    <w:rsid w:val="009A57A6"/>
    <w:rsid w:val="009A583E"/>
    <w:rsid w:val="009A5947"/>
    <w:rsid w:val="009A5A48"/>
    <w:rsid w:val="009A5ED0"/>
    <w:rsid w:val="009A600E"/>
    <w:rsid w:val="009A61CA"/>
    <w:rsid w:val="009A6512"/>
    <w:rsid w:val="009A6642"/>
    <w:rsid w:val="009A68A5"/>
    <w:rsid w:val="009A6A65"/>
    <w:rsid w:val="009A6F28"/>
    <w:rsid w:val="009A7028"/>
    <w:rsid w:val="009A70B4"/>
    <w:rsid w:val="009A756B"/>
    <w:rsid w:val="009A7577"/>
    <w:rsid w:val="009A771F"/>
    <w:rsid w:val="009A7821"/>
    <w:rsid w:val="009A79E6"/>
    <w:rsid w:val="009A7B49"/>
    <w:rsid w:val="009A7BA7"/>
    <w:rsid w:val="009A7C56"/>
    <w:rsid w:val="009A7CC1"/>
    <w:rsid w:val="009B0155"/>
    <w:rsid w:val="009B0183"/>
    <w:rsid w:val="009B049A"/>
    <w:rsid w:val="009B0611"/>
    <w:rsid w:val="009B0C68"/>
    <w:rsid w:val="009B0E9F"/>
    <w:rsid w:val="009B1214"/>
    <w:rsid w:val="009B13B8"/>
    <w:rsid w:val="009B14F4"/>
    <w:rsid w:val="009B1882"/>
    <w:rsid w:val="009B1BFD"/>
    <w:rsid w:val="009B20B7"/>
    <w:rsid w:val="009B21AC"/>
    <w:rsid w:val="009B21D1"/>
    <w:rsid w:val="009B2372"/>
    <w:rsid w:val="009B253A"/>
    <w:rsid w:val="009B27D0"/>
    <w:rsid w:val="009B2CDC"/>
    <w:rsid w:val="009B2D28"/>
    <w:rsid w:val="009B2E22"/>
    <w:rsid w:val="009B2F8F"/>
    <w:rsid w:val="009B30E8"/>
    <w:rsid w:val="009B32DC"/>
    <w:rsid w:val="009B366C"/>
    <w:rsid w:val="009B398F"/>
    <w:rsid w:val="009B3DA5"/>
    <w:rsid w:val="009B41B2"/>
    <w:rsid w:val="009B4332"/>
    <w:rsid w:val="009B43F7"/>
    <w:rsid w:val="009B4615"/>
    <w:rsid w:val="009B467C"/>
    <w:rsid w:val="009B46C4"/>
    <w:rsid w:val="009B46D4"/>
    <w:rsid w:val="009B4C04"/>
    <w:rsid w:val="009B4E73"/>
    <w:rsid w:val="009B4F49"/>
    <w:rsid w:val="009B518C"/>
    <w:rsid w:val="009B527A"/>
    <w:rsid w:val="009B5375"/>
    <w:rsid w:val="009B565A"/>
    <w:rsid w:val="009B5757"/>
    <w:rsid w:val="009B5B2C"/>
    <w:rsid w:val="009B6427"/>
    <w:rsid w:val="009B64A0"/>
    <w:rsid w:val="009B64AD"/>
    <w:rsid w:val="009B664C"/>
    <w:rsid w:val="009B66AB"/>
    <w:rsid w:val="009B6704"/>
    <w:rsid w:val="009B67BC"/>
    <w:rsid w:val="009B6A77"/>
    <w:rsid w:val="009B6DD3"/>
    <w:rsid w:val="009B6F24"/>
    <w:rsid w:val="009B755B"/>
    <w:rsid w:val="009B7806"/>
    <w:rsid w:val="009B79B3"/>
    <w:rsid w:val="009B7BD9"/>
    <w:rsid w:val="009B7E25"/>
    <w:rsid w:val="009B7E53"/>
    <w:rsid w:val="009B7EA5"/>
    <w:rsid w:val="009B7F69"/>
    <w:rsid w:val="009C0246"/>
    <w:rsid w:val="009C025D"/>
    <w:rsid w:val="009C085D"/>
    <w:rsid w:val="009C09B4"/>
    <w:rsid w:val="009C0AD5"/>
    <w:rsid w:val="009C0DB7"/>
    <w:rsid w:val="009C0F11"/>
    <w:rsid w:val="009C108D"/>
    <w:rsid w:val="009C10A9"/>
    <w:rsid w:val="009C1464"/>
    <w:rsid w:val="009C17D6"/>
    <w:rsid w:val="009C1A81"/>
    <w:rsid w:val="009C1C0A"/>
    <w:rsid w:val="009C1DAF"/>
    <w:rsid w:val="009C1DC0"/>
    <w:rsid w:val="009C1DDA"/>
    <w:rsid w:val="009C2A0D"/>
    <w:rsid w:val="009C2C19"/>
    <w:rsid w:val="009C3166"/>
    <w:rsid w:val="009C3480"/>
    <w:rsid w:val="009C34A1"/>
    <w:rsid w:val="009C362D"/>
    <w:rsid w:val="009C3903"/>
    <w:rsid w:val="009C3A8B"/>
    <w:rsid w:val="009C3D81"/>
    <w:rsid w:val="009C3F7D"/>
    <w:rsid w:val="009C4C60"/>
    <w:rsid w:val="009C4F96"/>
    <w:rsid w:val="009C51C7"/>
    <w:rsid w:val="009C51FC"/>
    <w:rsid w:val="009C546B"/>
    <w:rsid w:val="009C58DC"/>
    <w:rsid w:val="009C5B18"/>
    <w:rsid w:val="009C6034"/>
    <w:rsid w:val="009C61EA"/>
    <w:rsid w:val="009C6374"/>
    <w:rsid w:val="009C64E6"/>
    <w:rsid w:val="009C6557"/>
    <w:rsid w:val="009C6696"/>
    <w:rsid w:val="009C66CE"/>
    <w:rsid w:val="009C678D"/>
    <w:rsid w:val="009C6983"/>
    <w:rsid w:val="009C6C8F"/>
    <w:rsid w:val="009C6EB1"/>
    <w:rsid w:val="009C7172"/>
    <w:rsid w:val="009C7217"/>
    <w:rsid w:val="009C748D"/>
    <w:rsid w:val="009C7558"/>
    <w:rsid w:val="009C76C8"/>
    <w:rsid w:val="009C7755"/>
    <w:rsid w:val="009C7846"/>
    <w:rsid w:val="009C7970"/>
    <w:rsid w:val="009C7A3B"/>
    <w:rsid w:val="009C7DD0"/>
    <w:rsid w:val="009C7ED1"/>
    <w:rsid w:val="009D0133"/>
    <w:rsid w:val="009D0803"/>
    <w:rsid w:val="009D0BA5"/>
    <w:rsid w:val="009D0EC2"/>
    <w:rsid w:val="009D1404"/>
    <w:rsid w:val="009D14B8"/>
    <w:rsid w:val="009D1637"/>
    <w:rsid w:val="009D179F"/>
    <w:rsid w:val="009D1A52"/>
    <w:rsid w:val="009D1A97"/>
    <w:rsid w:val="009D1DF7"/>
    <w:rsid w:val="009D1F17"/>
    <w:rsid w:val="009D1F1E"/>
    <w:rsid w:val="009D1F5A"/>
    <w:rsid w:val="009D1FBB"/>
    <w:rsid w:val="009D1FF2"/>
    <w:rsid w:val="009D2143"/>
    <w:rsid w:val="009D2968"/>
    <w:rsid w:val="009D29C0"/>
    <w:rsid w:val="009D29F4"/>
    <w:rsid w:val="009D2B34"/>
    <w:rsid w:val="009D31AA"/>
    <w:rsid w:val="009D3261"/>
    <w:rsid w:val="009D3335"/>
    <w:rsid w:val="009D3459"/>
    <w:rsid w:val="009D38CB"/>
    <w:rsid w:val="009D38EE"/>
    <w:rsid w:val="009D39D1"/>
    <w:rsid w:val="009D428B"/>
    <w:rsid w:val="009D432B"/>
    <w:rsid w:val="009D46DB"/>
    <w:rsid w:val="009D47B9"/>
    <w:rsid w:val="009D492A"/>
    <w:rsid w:val="009D4A38"/>
    <w:rsid w:val="009D4C3C"/>
    <w:rsid w:val="009D4CA6"/>
    <w:rsid w:val="009D4DC7"/>
    <w:rsid w:val="009D4FF0"/>
    <w:rsid w:val="009D521C"/>
    <w:rsid w:val="009D5480"/>
    <w:rsid w:val="009D554C"/>
    <w:rsid w:val="009D574B"/>
    <w:rsid w:val="009D5DA7"/>
    <w:rsid w:val="009D6009"/>
    <w:rsid w:val="009D6293"/>
    <w:rsid w:val="009D6348"/>
    <w:rsid w:val="009D6368"/>
    <w:rsid w:val="009D63E9"/>
    <w:rsid w:val="009D6649"/>
    <w:rsid w:val="009D6733"/>
    <w:rsid w:val="009D684E"/>
    <w:rsid w:val="009D69C2"/>
    <w:rsid w:val="009D6C0F"/>
    <w:rsid w:val="009D6E1A"/>
    <w:rsid w:val="009D6E3B"/>
    <w:rsid w:val="009D70F5"/>
    <w:rsid w:val="009D7376"/>
    <w:rsid w:val="009D74AC"/>
    <w:rsid w:val="009D769D"/>
    <w:rsid w:val="009D78AF"/>
    <w:rsid w:val="009D7994"/>
    <w:rsid w:val="009D7C66"/>
    <w:rsid w:val="009D7E44"/>
    <w:rsid w:val="009D7F9C"/>
    <w:rsid w:val="009D7FC2"/>
    <w:rsid w:val="009E0227"/>
    <w:rsid w:val="009E0404"/>
    <w:rsid w:val="009E0617"/>
    <w:rsid w:val="009E08C2"/>
    <w:rsid w:val="009E0A81"/>
    <w:rsid w:val="009E0AB1"/>
    <w:rsid w:val="009E0D0D"/>
    <w:rsid w:val="009E0DD6"/>
    <w:rsid w:val="009E0F0E"/>
    <w:rsid w:val="009E0F4B"/>
    <w:rsid w:val="009E127A"/>
    <w:rsid w:val="009E159E"/>
    <w:rsid w:val="009E1B91"/>
    <w:rsid w:val="009E1EF2"/>
    <w:rsid w:val="009E1FDC"/>
    <w:rsid w:val="009E201C"/>
    <w:rsid w:val="009E2037"/>
    <w:rsid w:val="009E2204"/>
    <w:rsid w:val="009E225E"/>
    <w:rsid w:val="009E25D4"/>
    <w:rsid w:val="009E267F"/>
    <w:rsid w:val="009E27EE"/>
    <w:rsid w:val="009E287E"/>
    <w:rsid w:val="009E2B3F"/>
    <w:rsid w:val="009E2C1C"/>
    <w:rsid w:val="009E2CAF"/>
    <w:rsid w:val="009E2FE7"/>
    <w:rsid w:val="009E3027"/>
    <w:rsid w:val="009E334C"/>
    <w:rsid w:val="009E355C"/>
    <w:rsid w:val="009E3707"/>
    <w:rsid w:val="009E3735"/>
    <w:rsid w:val="009E39BC"/>
    <w:rsid w:val="009E39ED"/>
    <w:rsid w:val="009E3C50"/>
    <w:rsid w:val="009E415B"/>
    <w:rsid w:val="009E41A6"/>
    <w:rsid w:val="009E47BE"/>
    <w:rsid w:val="009E495B"/>
    <w:rsid w:val="009E4B6F"/>
    <w:rsid w:val="009E4BC8"/>
    <w:rsid w:val="009E4C33"/>
    <w:rsid w:val="009E4CC6"/>
    <w:rsid w:val="009E4D4D"/>
    <w:rsid w:val="009E4E0B"/>
    <w:rsid w:val="009E4ED3"/>
    <w:rsid w:val="009E512B"/>
    <w:rsid w:val="009E5260"/>
    <w:rsid w:val="009E5274"/>
    <w:rsid w:val="009E54E5"/>
    <w:rsid w:val="009E58BC"/>
    <w:rsid w:val="009E60BE"/>
    <w:rsid w:val="009E6343"/>
    <w:rsid w:val="009E673D"/>
    <w:rsid w:val="009E6A77"/>
    <w:rsid w:val="009E6B55"/>
    <w:rsid w:val="009E6C6A"/>
    <w:rsid w:val="009E6D1F"/>
    <w:rsid w:val="009E6E29"/>
    <w:rsid w:val="009E6E48"/>
    <w:rsid w:val="009E6EA5"/>
    <w:rsid w:val="009E6EAC"/>
    <w:rsid w:val="009E6F94"/>
    <w:rsid w:val="009E722B"/>
    <w:rsid w:val="009E768B"/>
    <w:rsid w:val="009E7769"/>
    <w:rsid w:val="009E7858"/>
    <w:rsid w:val="009E79F7"/>
    <w:rsid w:val="009E7A1F"/>
    <w:rsid w:val="009E7A5B"/>
    <w:rsid w:val="009E7FE7"/>
    <w:rsid w:val="009F0196"/>
    <w:rsid w:val="009F08B2"/>
    <w:rsid w:val="009F0BDC"/>
    <w:rsid w:val="009F11AA"/>
    <w:rsid w:val="009F1591"/>
    <w:rsid w:val="009F1CD9"/>
    <w:rsid w:val="009F2164"/>
    <w:rsid w:val="009F237A"/>
    <w:rsid w:val="009F23AF"/>
    <w:rsid w:val="009F2493"/>
    <w:rsid w:val="009F25B2"/>
    <w:rsid w:val="009F2660"/>
    <w:rsid w:val="009F269B"/>
    <w:rsid w:val="009F28E0"/>
    <w:rsid w:val="009F29BF"/>
    <w:rsid w:val="009F2A9E"/>
    <w:rsid w:val="009F2B37"/>
    <w:rsid w:val="009F2E67"/>
    <w:rsid w:val="009F2E92"/>
    <w:rsid w:val="009F2F31"/>
    <w:rsid w:val="009F2FAD"/>
    <w:rsid w:val="009F302B"/>
    <w:rsid w:val="009F3239"/>
    <w:rsid w:val="009F362E"/>
    <w:rsid w:val="009F37DE"/>
    <w:rsid w:val="009F3D01"/>
    <w:rsid w:val="009F3D21"/>
    <w:rsid w:val="009F3DB3"/>
    <w:rsid w:val="009F41AC"/>
    <w:rsid w:val="009F4C3F"/>
    <w:rsid w:val="009F4F80"/>
    <w:rsid w:val="009F50B7"/>
    <w:rsid w:val="009F50D7"/>
    <w:rsid w:val="009F51A8"/>
    <w:rsid w:val="009F5259"/>
    <w:rsid w:val="009F54E4"/>
    <w:rsid w:val="009F5834"/>
    <w:rsid w:val="009F587A"/>
    <w:rsid w:val="009F5A26"/>
    <w:rsid w:val="009F5BE3"/>
    <w:rsid w:val="009F5E61"/>
    <w:rsid w:val="009F5F23"/>
    <w:rsid w:val="009F6554"/>
    <w:rsid w:val="009F661B"/>
    <w:rsid w:val="009F66F9"/>
    <w:rsid w:val="009F67E5"/>
    <w:rsid w:val="009F67F5"/>
    <w:rsid w:val="009F6C41"/>
    <w:rsid w:val="009F6C86"/>
    <w:rsid w:val="009F6FB6"/>
    <w:rsid w:val="009F7148"/>
    <w:rsid w:val="009F785D"/>
    <w:rsid w:val="009F7870"/>
    <w:rsid w:val="009F789A"/>
    <w:rsid w:val="009F78BC"/>
    <w:rsid w:val="009F7B45"/>
    <w:rsid w:val="009F7BE4"/>
    <w:rsid w:val="009F7F1F"/>
    <w:rsid w:val="00A00036"/>
    <w:rsid w:val="00A007EA"/>
    <w:rsid w:val="00A00925"/>
    <w:rsid w:val="00A00976"/>
    <w:rsid w:val="00A00A16"/>
    <w:rsid w:val="00A012C0"/>
    <w:rsid w:val="00A013F3"/>
    <w:rsid w:val="00A01EC5"/>
    <w:rsid w:val="00A01ED7"/>
    <w:rsid w:val="00A01FC8"/>
    <w:rsid w:val="00A01FD4"/>
    <w:rsid w:val="00A02633"/>
    <w:rsid w:val="00A0270F"/>
    <w:rsid w:val="00A02BF6"/>
    <w:rsid w:val="00A0306E"/>
    <w:rsid w:val="00A03077"/>
    <w:rsid w:val="00A032FA"/>
    <w:rsid w:val="00A03618"/>
    <w:rsid w:val="00A0367D"/>
    <w:rsid w:val="00A038C6"/>
    <w:rsid w:val="00A041FA"/>
    <w:rsid w:val="00A04259"/>
    <w:rsid w:val="00A04275"/>
    <w:rsid w:val="00A045F7"/>
    <w:rsid w:val="00A046D9"/>
    <w:rsid w:val="00A04742"/>
    <w:rsid w:val="00A047D4"/>
    <w:rsid w:val="00A04A08"/>
    <w:rsid w:val="00A04D82"/>
    <w:rsid w:val="00A056C7"/>
    <w:rsid w:val="00A05959"/>
    <w:rsid w:val="00A05CB3"/>
    <w:rsid w:val="00A05F30"/>
    <w:rsid w:val="00A06137"/>
    <w:rsid w:val="00A06364"/>
    <w:rsid w:val="00A0693C"/>
    <w:rsid w:val="00A06A3B"/>
    <w:rsid w:val="00A06D39"/>
    <w:rsid w:val="00A06DDA"/>
    <w:rsid w:val="00A07090"/>
    <w:rsid w:val="00A07132"/>
    <w:rsid w:val="00A07353"/>
    <w:rsid w:val="00A07555"/>
    <w:rsid w:val="00A075ED"/>
    <w:rsid w:val="00A07697"/>
    <w:rsid w:val="00A076B7"/>
    <w:rsid w:val="00A076D8"/>
    <w:rsid w:val="00A07754"/>
    <w:rsid w:val="00A079EF"/>
    <w:rsid w:val="00A07E70"/>
    <w:rsid w:val="00A10403"/>
    <w:rsid w:val="00A10D01"/>
    <w:rsid w:val="00A11108"/>
    <w:rsid w:val="00A1142B"/>
    <w:rsid w:val="00A11566"/>
    <w:rsid w:val="00A1161E"/>
    <w:rsid w:val="00A11704"/>
    <w:rsid w:val="00A118AC"/>
    <w:rsid w:val="00A11A83"/>
    <w:rsid w:val="00A11AD2"/>
    <w:rsid w:val="00A11C1F"/>
    <w:rsid w:val="00A11F6E"/>
    <w:rsid w:val="00A12823"/>
    <w:rsid w:val="00A12827"/>
    <w:rsid w:val="00A12895"/>
    <w:rsid w:val="00A1296E"/>
    <w:rsid w:val="00A129BE"/>
    <w:rsid w:val="00A129C5"/>
    <w:rsid w:val="00A129D8"/>
    <w:rsid w:val="00A12A92"/>
    <w:rsid w:val="00A12A9E"/>
    <w:rsid w:val="00A132BE"/>
    <w:rsid w:val="00A135E7"/>
    <w:rsid w:val="00A136CC"/>
    <w:rsid w:val="00A136DD"/>
    <w:rsid w:val="00A13763"/>
    <w:rsid w:val="00A13970"/>
    <w:rsid w:val="00A13A77"/>
    <w:rsid w:val="00A13AEF"/>
    <w:rsid w:val="00A13B10"/>
    <w:rsid w:val="00A13FA4"/>
    <w:rsid w:val="00A141F6"/>
    <w:rsid w:val="00A14BFF"/>
    <w:rsid w:val="00A14C1C"/>
    <w:rsid w:val="00A14D54"/>
    <w:rsid w:val="00A150A5"/>
    <w:rsid w:val="00A15327"/>
    <w:rsid w:val="00A154C4"/>
    <w:rsid w:val="00A154CF"/>
    <w:rsid w:val="00A1586B"/>
    <w:rsid w:val="00A159DB"/>
    <w:rsid w:val="00A15A6C"/>
    <w:rsid w:val="00A15E56"/>
    <w:rsid w:val="00A15E59"/>
    <w:rsid w:val="00A16065"/>
    <w:rsid w:val="00A160B0"/>
    <w:rsid w:val="00A16363"/>
    <w:rsid w:val="00A164D8"/>
    <w:rsid w:val="00A16D4C"/>
    <w:rsid w:val="00A16DC7"/>
    <w:rsid w:val="00A16EC6"/>
    <w:rsid w:val="00A1721F"/>
    <w:rsid w:val="00A1745A"/>
    <w:rsid w:val="00A17569"/>
    <w:rsid w:val="00A1782B"/>
    <w:rsid w:val="00A17A8C"/>
    <w:rsid w:val="00A17C7C"/>
    <w:rsid w:val="00A17F7A"/>
    <w:rsid w:val="00A2032B"/>
    <w:rsid w:val="00A204C9"/>
    <w:rsid w:val="00A205B3"/>
    <w:rsid w:val="00A20B1D"/>
    <w:rsid w:val="00A20B9F"/>
    <w:rsid w:val="00A20C05"/>
    <w:rsid w:val="00A20F03"/>
    <w:rsid w:val="00A20FB6"/>
    <w:rsid w:val="00A21236"/>
    <w:rsid w:val="00A213FB"/>
    <w:rsid w:val="00A214AE"/>
    <w:rsid w:val="00A216D4"/>
    <w:rsid w:val="00A2181D"/>
    <w:rsid w:val="00A21905"/>
    <w:rsid w:val="00A21939"/>
    <w:rsid w:val="00A219F7"/>
    <w:rsid w:val="00A21D0B"/>
    <w:rsid w:val="00A21D8F"/>
    <w:rsid w:val="00A21F33"/>
    <w:rsid w:val="00A21F7F"/>
    <w:rsid w:val="00A2265D"/>
    <w:rsid w:val="00A22AE2"/>
    <w:rsid w:val="00A22BF5"/>
    <w:rsid w:val="00A22CF7"/>
    <w:rsid w:val="00A22D34"/>
    <w:rsid w:val="00A22D77"/>
    <w:rsid w:val="00A22DD4"/>
    <w:rsid w:val="00A22F67"/>
    <w:rsid w:val="00A2327F"/>
    <w:rsid w:val="00A2343D"/>
    <w:rsid w:val="00A23623"/>
    <w:rsid w:val="00A23663"/>
    <w:rsid w:val="00A23843"/>
    <w:rsid w:val="00A23888"/>
    <w:rsid w:val="00A23B44"/>
    <w:rsid w:val="00A2405A"/>
    <w:rsid w:val="00A240F7"/>
    <w:rsid w:val="00A2414A"/>
    <w:rsid w:val="00A24939"/>
    <w:rsid w:val="00A24F6F"/>
    <w:rsid w:val="00A251C1"/>
    <w:rsid w:val="00A25297"/>
    <w:rsid w:val="00A2536E"/>
    <w:rsid w:val="00A25636"/>
    <w:rsid w:val="00A25761"/>
    <w:rsid w:val="00A25764"/>
    <w:rsid w:val="00A25AAF"/>
    <w:rsid w:val="00A25F49"/>
    <w:rsid w:val="00A25F9C"/>
    <w:rsid w:val="00A26A69"/>
    <w:rsid w:val="00A26CD4"/>
    <w:rsid w:val="00A26DAC"/>
    <w:rsid w:val="00A26DE5"/>
    <w:rsid w:val="00A26EF0"/>
    <w:rsid w:val="00A26FB6"/>
    <w:rsid w:val="00A2708D"/>
    <w:rsid w:val="00A271A7"/>
    <w:rsid w:val="00A271AE"/>
    <w:rsid w:val="00A27346"/>
    <w:rsid w:val="00A274CF"/>
    <w:rsid w:val="00A2788D"/>
    <w:rsid w:val="00A27A66"/>
    <w:rsid w:val="00A27C72"/>
    <w:rsid w:val="00A27E62"/>
    <w:rsid w:val="00A300A4"/>
    <w:rsid w:val="00A30424"/>
    <w:rsid w:val="00A3061A"/>
    <w:rsid w:val="00A3065C"/>
    <w:rsid w:val="00A30679"/>
    <w:rsid w:val="00A30697"/>
    <w:rsid w:val="00A30818"/>
    <w:rsid w:val="00A30921"/>
    <w:rsid w:val="00A30B64"/>
    <w:rsid w:val="00A30EBC"/>
    <w:rsid w:val="00A31377"/>
    <w:rsid w:val="00A3177F"/>
    <w:rsid w:val="00A31B38"/>
    <w:rsid w:val="00A31CF0"/>
    <w:rsid w:val="00A31D13"/>
    <w:rsid w:val="00A31D5B"/>
    <w:rsid w:val="00A3268F"/>
    <w:rsid w:val="00A32B22"/>
    <w:rsid w:val="00A32BF7"/>
    <w:rsid w:val="00A32E61"/>
    <w:rsid w:val="00A3323B"/>
    <w:rsid w:val="00A3326D"/>
    <w:rsid w:val="00A33308"/>
    <w:rsid w:val="00A33698"/>
    <w:rsid w:val="00A33788"/>
    <w:rsid w:val="00A339DB"/>
    <w:rsid w:val="00A33AF8"/>
    <w:rsid w:val="00A341DE"/>
    <w:rsid w:val="00A345FC"/>
    <w:rsid w:val="00A3467D"/>
    <w:rsid w:val="00A346B8"/>
    <w:rsid w:val="00A34786"/>
    <w:rsid w:val="00A34A19"/>
    <w:rsid w:val="00A34CE1"/>
    <w:rsid w:val="00A34D1C"/>
    <w:rsid w:val="00A34D73"/>
    <w:rsid w:val="00A34D83"/>
    <w:rsid w:val="00A35233"/>
    <w:rsid w:val="00A35791"/>
    <w:rsid w:val="00A35935"/>
    <w:rsid w:val="00A35C08"/>
    <w:rsid w:val="00A35CF8"/>
    <w:rsid w:val="00A35D4C"/>
    <w:rsid w:val="00A35DBE"/>
    <w:rsid w:val="00A35DCC"/>
    <w:rsid w:val="00A35EFD"/>
    <w:rsid w:val="00A3640B"/>
    <w:rsid w:val="00A36575"/>
    <w:rsid w:val="00A36618"/>
    <w:rsid w:val="00A3688A"/>
    <w:rsid w:val="00A3694B"/>
    <w:rsid w:val="00A3699E"/>
    <w:rsid w:val="00A36BD9"/>
    <w:rsid w:val="00A36C79"/>
    <w:rsid w:val="00A36EE5"/>
    <w:rsid w:val="00A36FC8"/>
    <w:rsid w:val="00A3713A"/>
    <w:rsid w:val="00A37273"/>
    <w:rsid w:val="00A3778E"/>
    <w:rsid w:val="00A3788F"/>
    <w:rsid w:val="00A378B2"/>
    <w:rsid w:val="00A379D6"/>
    <w:rsid w:val="00A37C8A"/>
    <w:rsid w:val="00A37E3B"/>
    <w:rsid w:val="00A37E86"/>
    <w:rsid w:val="00A37F7B"/>
    <w:rsid w:val="00A40010"/>
    <w:rsid w:val="00A4008C"/>
    <w:rsid w:val="00A402D0"/>
    <w:rsid w:val="00A402D6"/>
    <w:rsid w:val="00A40371"/>
    <w:rsid w:val="00A406B2"/>
    <w:rsid w:val="00A40891"/>
    <w:rsid w:val="00A40976"/>
    <w:rsid w:val="00A40A83"/>
    <w:rsid w:val="00A40E83"/>
    <w:rsid w:val="00A4106A"/>
    <w:rsid w:val="00A4107A"/>
    <w:rsid w:val="00A41478"/>
    <w:rsid w:val="00A41576"/>
    <w:rsid w:val="00A41786"/>
    <w:rsid w:val="00A419CA"/>
    <w:rsid w:val="00A41F10"/>
    <w:rsid w:val="00A42365"/>
    <w:rsid w:val="00A42590"/>
    <w:rsid w:val="00A42F4F"/>
    <w:rsid w:val="00A43249"/>
    <w:rsid w:val="00A4335B"/>
    <w:rsid w:val="00A43C2F"/>
    <w:rsid w:val="00A43C53"/>
    <w:rsid w:val="00A44151"/>
    <w:rsid w:val="00A441BE"/>
    <w:rsid w:val="00A441DF"/>
    <w:rsid w:val="00A446D6"/>
    <w:rsid w:val="00A44702"/>
    <w:rsid w:val="00A4477D"/>
    <w:rsid w:val="00A44853"/>
    <w:rsid w:val="00A44A31"/>
    <w:rsid w:val="00A44C96"/>
    <w:rsid w:val="00A44D51"/>
    <w:rsid w:val="00A4508E"/>
    <w:rsid w:val="00A45093"/>
    <w:rsid w:val="00A4513A"/>
    <w:rsid w:val="00A451DE"/>
    <w:rsid w:val="00A451F3"/>
    <w:rsid w:val="00A45250"/>
    <w:rsid w:val="00A4527D"/>
    <w:rsid w:val="00A457CE"/>
    <w:rsid w:val="00A45C01"/>
    <w:rsid w:val="00A45CF3"/>
    <w:rsid w:val="00A45F3D"/>
    <w:rsid w:val="00A4601A"/>
    <w:rsid w:val="00A46394"/>
    <w:rsid w:val="00A4647E"/>
    <w:rsid w:val="00A46502"/>
    <w:rsid w:val="00A466A5"/>
    <w:rsid w:val="00A46B00"/>
    <w:rsid w:val="00A4704C"/>
    <w:rsid w:val="00A470E8"/>
    <w:rsid w:val="00A47154"/>
    <w:rsid w:val="00A47DD5"/>
    <w:rsid w:val="00A50067"/>
    <w:rsid w:val="00A5031A"/>
    <w:rsid w:val="00A503A5"/>
    <w:rsid w:val="00A50602"/>
    <w:rsid w:val="00A506A7"/>
    <w:rsid w:val="00A50802"/>
    <w:rsid w:val="00A5094A"/>
    <w:rsid w:val="00A50CD6"/>
    <w:rsid w:val="00A50D88"/>
    <w:rsid w:val="00A50E9A"/>
    <w:rsid w:val="00A51237"/>
    <w:rsid w:val="00A51239"/>
    <w:rsid w:val="00A51530"/>
    <w:rsid w:val="00A51736"/>
    <w:rsid w:val="00A51756"/>
    <w:rsid w:val="00A51B1B"/>
    <w:rsid w:val="00A51C69"/>
    <w:rsid w:val="00A51D0F"/>
    <w:rsid w:val="00A51E86"/>
    <w:rsid w:val="00A5218C"/>
    <w:rsid w:val="00A521B0"/>
    <w:rsid w:val="00A523B1"/>
    <w:rsid w:val="00A52469"/>
    <w:rsid w:val="00A52840"/>
    <w:rsid w:val="00A529E6"/>
    <w:rsid w:val="00A531F7"/>
    <w:rsid w:val="00A533FA"/>
    <w:rsid w:val="00A536CC"/>
    <w:rsid w:val="00A53807"/>
    <w:rsid w:val="00A53E21"/>
    <w:rsid w:val="00A54083"/>
    <w:rsid w:val="00A5431A"/>
    <w:rsid w:val="00A54337"/>
    <w:rsid w:val="00A5436A"/>
    <w:rsid w:val="00A54431"/>
    <w:rsid w:val="00A5452F"/>
    <w:rsid w:val="00A550D7"/>
    <w:rsid w:val="00A55138"/>
    <w:rsid w:val="00A55739"/>
    <w:rsid w:val="00A557AC"/>
    <w:rsid w:val="00A55897"/>
    <w:rsid w:val="00A55F94"/>
    <w:rsid w:val="00A561DE"/>
    <w:rsid w:val="00A56391"/>
    <w:rsid w:val="00A5642F"/>
    <w:rsid w:val="00A56A10"/>
    <w:rsid w:val="00A56BB1"/>
    <w:rsid w:val="00A56E16"/>
    <w:rsid w:val="00A56EBD"/>
    <w:rsid w:val="00A5732B"/>
    <w:rsid w:val="00A578A7"/>
    <w:rsid w:val="00A57B0A"/>
    <w:rsid w:val="00A604F2"/>
    <w:rsid w:val="00A60934"/>
    <w:rsid w:val="00A60A12"/>
    <w:rsid w:val="00A60FAA"/>
    <w:rsid w:val="00A6101B"/>
    <w:rsid w:val="00A6107A"/>
    <w:rsid w:val="00A6131D"/>
    <w:rsid w:val="00A615F6"/>
    <w:rsid w:val="00A6185F"/>
    <w:rsid w:val="00A61A57"/>
    <w:rsid w:val="00A61D68"/>
    <w:rsid w:val="00A61DA5"/>
    <w:rsid w:val="00A61E04"/>
    <w:rsid w:val="00A62117"/>
    <w:rsid w:val="00A6252D"/>
    <w:rsid w:val="00A625ED"/>
    <w:rsid w:val="00A62A9C"/>
    <w:rsid w:val="00A62C39"/>
    <w:rsid w:val="00A62D5A"/>
    <w:rsid w:val="00A62DC7"/>
    <w:rsid w:val="00A62E70"/>
    <w:rsid w:val="00A62F62"/>
    <w:rsid w:val="00A62F98"/>
    <w:rsid w:val="00A62FCB"/>
    <w:rsid w:val="00A63083"/>
    <w:rsid w:val="00A632F7"/>
    <w:rsid w:val="00A6334A"/>
    <w:rsid w:val="00A63643"/>
    <w:rsid w:val="00A63692"/>
    <w:rsid w:val="00A639FD"/>
    <w:rsid w:val="00A63A53"/>
    <w:rsid w:val="00A63ABE"/>
    <w:rsid w:val="00A63D1F"/>
    <w:rsid w:val="00A63EDD"/>
    <w:rsid w:val="00A6401D"/>
    <w:rsid w:val="00A641C8"/>
    <w:rsid w:val="00A644AF"/>
    <w:rsid w:val="00A64621"/>
    <w:rsid w:val="00A64C81"/>
    <w:rsid w:val="00A64DB8"/>
    <w:rsid w:val="00A64DC9"/>
    <w:rsid w:val="00A64DD7"/>
    <w:rsid w:val="00A64FE0"/>
    <w:rsid w:val="00A65452"/>
    <w:rsid w:val="00A65510"/>
    <w:rsid w:val="00A6567C"/>
    <w:rsid w:val="00A656E3"/>
    <w:rsid w:val="00A65AE9"/>
    <w:rsid w:val="00A65AFA"/>
    <w:rsid w:val="00A65B66"/>
    <w:rsid w:val="00A65BAF"/>
    <w:rsid w:val="00A65BD9"/>
    <w:rsid w:val="00A6647A"/>
    <w:rsid w:val="00A66DA2"/>
    <w:rsid w:val="00A66E8D"/>
    <w:rsid w:val="00A66F34"/>
    <w:rsid w:val="00A67075"/>
    <w:rsid w:val="00A670AB"/>
    <w:rsid w:val="00A671B0"/>
    <w:rsid w:val="00A67225"/>
    <w:rsid w:val="00A672A7"/>
    <w:rsid w:val="00A6759A"/>
    <w:rsid w:val="00A67D58"/>
    <w:rsid w:val="00A67E33"/>
    <w:rsid w:val="00A70365"/>
    <w:rsid w:val="00A705F9"/>
    <w:rsid w:val="00A70788"/>
    <w:rsid w:val="00A70B50"/>
    <w:rsid w:val="00A70D1D"/>
    <w:rsid w:val="00A711AF"/>
    <w:rsid w:val="00A713EB"/>
    <w:rsid w:val="00A717B7"/>
    <w:rsid w:val="00A717F7"/>
    <w:rsid w:val="00A71B08"/>
    <w:rsid w:val="00A71BB3"/>
    <w:rsid w:val="00A71CDC"/>
    <w:rsid w:val="00A71F56"/>
    <w:rsid w:val="00A71F97"/>
    <w:rsid w:val="00A721AA"/>
    <w:rsid w:val="00A721D4"/>
    <w:rsid w:val="00A723A7"/>
    <w:rsid w:val="00A724B8"/>
    <w:rsid w:val="00A7290F"/>
    <w:rsid w:val="00A72A2F"/>
    <w:rsid w:val="00A72B99"/>
    <w:rsid w:val="00A72F00"/>
    <w:rsid w:val="00A73340"/>
    <w:rsid w:val="00A73C0C"/>
    <w:rsid w:val="00A73C38"/>
    <w:rsid w:val="00A73FEF"/>
    <w:rsid w:val="00A74550"/>
    <w:rsid w:val="00A74A1C"/>
    <w:rsid w:val="00A74AFD"/>
    <w:rsid w:val="00A74FB8"/>
    <w:rsid w:val="00A750BA"/>
    <w:rsid w:val="00A759BE"/>
    <w:rsid w:val="00A7614E"/>
    <w:rsid w:val="00A7651D"/>
    <w:rsid w:val="00A765FB"/>
    <w:rsid w:val="00A76674"/>
    <w:rsid w:val="00A76A05"/>
    <w:rsid w:val="00A76B23"/>
    <w:rsid w:val="00A76E01"/>
    <w:rsid w:val="00A773B8"/>
    <w:rsid w:val="00A7767C"/>
    <w:rsid w:val="00A7778C"/>
    <w:rsid w:val="00A77804"/>
    <w:rsid w:val="00A778F4"/>
    <w:rsid w:val="00A77B4E"/>
    <w:rsid w:val="00A77DD3"/>
    <w:rsid w:val="00A77EF6"/>
    <w:rsid w:val="00A80946"/>
    <w:rsid w:val="00A80D01"/>
    <w:rsid w:val="00A81660"/>
    <w:rsid w:val="00A81834"/>
    <w:rsid w:val="00A81893"/>
    <w:rsid w:val="00A81D0B"/>
    <w:rsid w:val="00A81E75"/>
    <w:rsid w:val="00A820FE"/>
    <w:rsid w:val="00A8251A"/>
    <w:rsid w:val="00A8289B"/>
    <w:rsid w:val="00A82A0E"/>
    <w:rsid w:val="00A82AC5"/>
    <w:rsid w:val="00A82B22"/>
    <w:rsid w:val="00A82B94"/>
    <w:rsid w:val="00A82D94"/>
    <w:rsid w:val="00A8338D"/>
    <w:rsid w:val="00A83753"/>
    <w:rsid w:val="00A838A2"/>
    <w:rsid w:val="00A839EF"/>
    <w:rsid w:val="00A83E8E"/>
    <w:rsid w:val="00A83FAD"/>
    <w:rsid w:val="00A841BD"/>
    <w:rsid w:val="00A8464C"/>
    <w:rsid w:val="00A8475A"/>
    <w:rsid w:val="00A85658"/>
    <w:rsid w:val="00A857B3"/>
    <w:rsid w:val="00A858A1"/>
    <w:rsid w:val="00A85C71"/>
    <w:rsid w:val="00A85C87"/>
    <w:rsid w:val="00A85CEF"/>
    <w:rsid w:val="00A85D12"/>
    <w:rsid w:val="00A8641D"/>
    <w:rsid w:val="00A86599"/>
    <w:rsid w:val="00A8677B"/>
    <w:rsid w:val="00A8686C"/>
    <w:rsid w:val="00A86924"/>
    <w:rsid w:val="00A86926"/>
    <w:rsid w:val="00A86D20"/>
    <w:rsid w:val="00A86D46"/>
    <w:rsid w:val="00A86DAB"/>
    <w:rsid w:val="00A87311"/>
    <w:rsid w:val="00A87705"/>
    <w:rsid w:val="00A87963"/>
    <w:rsid w:val="00A87C19"/>
    <w:rsid w:val="00A87E22"/>
    <w:rsid w:val="00A87F08"/>
    <w:rsid w:val="00A87F29"/>
    <w:rsid w:val="00A87F59"/>
    <w:rsid w:val="00A904A3"/>
    <w:rsid w:val="00A90521"/>
    <w:rsid w:val="00A90FB4"/>
    <w:rsid w:val="00A91420"/>
    <w:rsid w:val="00A9142E"/>
    <w:rsid w:val="00A91655"/>
    <w:rsid w:val="00A916D6"/>
    <w:rsid w:val="00A91EC8"/>
    <w:rsid w:val="00A9236A"/>
    <w:rsid w:val="00A923B1"/>
    <w:rsid w:val="00A9249B"/>
    <w:rsid w:val="00A92757"/>
    <w:rsid w:val="00A92A81"/>
    <w:rsid w:val="00A92BFC"/>
    <w:rsid w:val="00A92C19"/>
    <w:rsid w:val="00A92C9F"/>
    <w:rsid w:val="00A92D6C"/>
    <w:rsid w:val="00A92DF8"/>
    <w:rsid w:val="00A93163"/>
    <w:rsid w:val="00A9317E"/>
    <w:rsid w:val="00A932A5"/>
    <w:rsid w:val="00A93596"/>
    <w:rsid w:val="00A937CB"/>
    <w:rsid w:val="00A938D7"/>
    <w:rsid w:val="00A939F6"/>
    <w:rsid w:val="00A93E3B"/>
    <w:rsid w:val="00A93FF0"/>
    <w:rsid w:val="00A94157"/>
    <w:rsid w:val="00A946C1"/>
    <w:rsid w:val="00A9473F"/>
    <w:rsid w:val="00A94D4A"/>
    <w:rsid w:val="00A94DC1"/>
    <w:rsid w:val="00A94F83"/>
    <w:rsid w:val="00A95062"/>
    <w:rsid w:val="00A951A6"/>
    <w:rsid w:val="00A951E4"/>
    <w:rsid w:val="00A956A3"/>
    <w:rsid w:val="00A95B3C"/>
    <w:rsid w:val="00A95D20"/>
    <w:rsid w:val="00A95DBC"/>
    <w:rsid w:val="00A95FD6"/>
    <w:rsid w:val="00A9600D"/>
    <w:rsid w:val="00A9633A"/>
    <w:rsid w:val="00A9655F"/>
    <w:rsid w:val="00A967B3"/>
    <w:rsid w:val="00A969EA"/>
    <w:rsid w:val="00A96F48"/>
    <w:rsid w:val="00A971E8"/>
    <w:rsid w:val="00A97335"/>
    <w:rsid w:val="00A9733D"/>
    <w:rsid w:val="00A97445"/>
    <w:rsid w:val="00A97636"/>
    <w:rsid w:val="00A978C6"/>
    <w:rsid w:val="00A97A02"/>
    <w:rsid w:val="00A97E71"/>
    <w:rsid w:val="00A97F92"/>
    <w:rsid w:val="00AA0150"/>
    <w:rsid w:val="00AA037A"/>
    <w:rsid w:val="00AA057E"/>
    <w:rsid w:val="00AA05D7"/>
    <w:rsid w:val="00AA0952"/>
    <w:rsid w:val="00AA0970"/>
    <w:rsid w:val="00AA0AC4"/>
    <w:rsid w:val="00AA0B77"/>
    <w:rsid w:val="00AA0B79"/>
    <w:rsid w:val="00AA0B9E"/>
    <w:rsid w:val="00AA0D31"/>
    <w:rsid w:val="00AA10AB"/>
    <w:rsid w:val="00AA137F"/>
    <w:rsid w:val="00AA1E6D"/>
    <w:rsid w:val="00AA1FD9"/>
    <w:rsid w:val="00AA203D"/>
    <w:rsid w:val="00AA20F2"/>
    <w:rsid w:val="00AA2792"/>
    <w:rsid w:val="00AA28E1"/>
    <w:rsid w:val="00AA2969"/>
    <w:rsid w:val="00AA296F"/>
    <w:rsid w:val="00AA2A7C"/>
    <w:rsid w:val="00AA2BEF"/>
    <w:rsid w:val="00AA2C0B"/>
    <w:rsid w:val="00AA2C1B"/>
    <w:rsid w:val="00AA30D8"/>
    <w:rsid w:val="00AA3428"/>
    <w:rsid w:val="00AA3495"/>
    <w:rsid w:val="00AA3543"/>
    <w:rsid w:val="00AA3612"/>
    <w:rsid w:val="00AA3A3B"/>
    <w:rsid w:val="00AA3FAB"/>
    <w:rsid w:val="00AA46B4"/>
    <w:rsid w:val="00AA4CA1"/>
    <w:rsid w:val="00AA5598"/>
    <w:rsid w:val="00AA564D"/>
    <w:rsid w:val="00AA56C0"/>
    <w:rsid w:val="00AA5732"/>
    <w:rsid w:val="00AA58F1"/>
    <w:rsid w:val="00AA5A35"/>
    <w:rsid w:val="00AA5C08"/>
    <w:rsid w:val="00AA5C82"/>
    <w:rsid w:val="00AA5E3F"/>
    <w:rsid w:val="00AA5ED1"/>
    <w:rsid w:val="00AA6532"/>
    <w:rsid w:val="00AA69EA"/>
    <w:rsid w:val="00AA6C73"/>
    <w:rsid w:val="00AA7011"/>
    <w:rsid w:val="00AA703B"/>
    <w:rsid w:val="00AA714D"/>
    <w:rsid w:val="00AA7702"/>
    <w:rsid w:val="00AA77DC"/>
    <w:rsid w:val="00AA7AAF"/>
    <w:rsid w:val="00AB002E"/>
    <w:rsid w:val="00AB0641"/>
    <w:rsid w:val="00AB0695"/>
    <w:rsid w:val="00AB1334"/>
    <w:rsid w:val="00AB1A55"/>
    <w:rsid w:val="00AB1B41"/>
    <w:rsid w:val="00AB1D65"/>
    <w:rsid w:val="00AB1E77"/>
    <w:rsid w:val="00AB21F0"/>
    <w:rsid w:val="00AB22B9"/>
    <w:rsid w:val="00AB281D"/>
    <w:rsid w:val="00AB2D47"/>
    <w:rsid w:val="00AB3176"/>
    <w:rsid w:val="00AB33AE"/>
    <w:rsid w:val="00AB3403"/>
    <w:rsid w:val="00AB37BA"/>
    <w:rsid w:val="00AB3808"/>
    <w:rsid w:val="00AB3BE7"/>
    <w:rsid w:val="00AB3DE7"/>
    <w:rsid w:val="00AB3E38"/>
    <w:rsid w:val="00AB4009"/>
    <w:rsid w:val="00AB40AB"/>
    <w:rsid w:val="00AB4298"/>
    <w:rsid w:val="00AB446B"/>
    <w:rsid w:val="00AB4771"/>
    <w:rsid w:val="00AB4C46"/>
    <w:rsid w:val="00AB4E4A"/>
    <w:rsid w:val="00AB4FD6"/>
    <w:rsid w:val="00AB53E2"/>
    <w:rsid w:val="00AB53EF"/>
    <w:rsid w:val="00AB57CB"/>
    <w:rsid w:val="00AB582E"/>
    <w:rsid w:val="00AB5893"/>
    <w:rsid w:val="00AB5CA8"/>
    <w:rsid w:val="00AB5D65"/>
    <w:rsid w:val="00AB6111"/>
    <w:rsid w:val="00AB6250"/>
    <w:rsid w:val="00AB65F4"/>
    <w:rsid w:val="00AB661B"/>
    <w:rsid w:val="00AB663A"/>
    <w:rsid w:val="00AB6815"/>
    <w:rsid w:val="00AB6892"/>
    <w:rsid w:val="00AB6DB9"/>
    <w:rsid w:val="00AB7697"/>
    <w:rsid w:val="00AB76DE"/>
    <w:rsid w:val="00AB77A5"/>
    <w:rsid w:val="00AB7847"/>
    <w:rsid w:val="00AB7878"/>
    <w:rsid w:val="00AB7886"/>
    <w:rsid w:val="00AB7919"/>
    <w:rsid w:val="00AB7AAD"/>
    <w:rsid w:val="00AC0452"/>
    <w:rsid w:val="00AC0899"/>
    <w:rsid w:val="00AC08A4"/>
    <w:rsid w:val="00AC0D7C"/>
    <w:rsid w:val="00AC0E28"/>
    <w:rsid w:val="00AC10D3"/>
    <w:rsid w:val="00AC1166"/>
    <w:rsid w:val="00AC14AD"/>
    <w:rsid w:val="00AC159C"/>
    <w:rsid w:val="00AC15F6"/>
    <w:rsid w:val="00AC196C"/>
    <w:rsid w:val="00AC1A6D"/>
    <w:rsid w:val="00AC1C0C"/>
    <w:rsid w:val="00AC1C96"/>
    <w:rsid w:val="00AC1CC7"/>
    <w:rsid w:val="00AC21DF"/>
    <w:rsid w:val="00AC2344"/>
    <w:rsid w:val="00AC251A"/>
    <w:rsid w:val="00AC25F8"/>
    <w:rsid w:val="00AC28E6"/>
    <w:rsid w:val="00AC29A2"/>
    <w:rsid w:val="00AC311F"/>
    <w:rsid w:val="00AC3432"/>
    <w:rsid w:val="00AC3553"/>
    <w:rsid w:val="00AC3612"/>
    <w:rsid w:val="00AC3634"/>
    <w:rsid w:val="00AC36C4"/>
    <w:rsid w:val="00AC3756"/>
    <w:rsid w:val="00AC39A3"/>
    <w:rsid w:val="00AC3AE8"/>
    <w:rsid w:val="00AC3B40"/>
    <w:rsid w:val="00AC3F43"/>
    <w:rsid w:val="00AC4265"/>
    <w:rsid w:val="00AC43CD"/>
    <w:rsid w:val="00AC464C"/>
    <w:rsid w:val="00AC46D3"/>
    <w:rsid w:val="00AC4D23"/>
    <w:rsid w:val="00AC4DF9"/>
    <w:rsid w:val="00AC4F2A"/>
    <w:rsid w:val="00AC5121"/>
    <w:rsid w:val="00AC55CA"/>
    <w:rsid w:val="00AC5618"/>
    <w:rsid w:val="00AC5EF7"/>
    <w:rsid w:val="00AC6477"/>
    <w:rsid w:val="00AC6764"/>
    <w:rsid w:val="00AC69AD"/>
    <w:rsid w:val="00AC6B22"/>
    <w:rsid w:val="00AC7052"/>
    <w:rsid w:val="00AC70A8"/>
    <w:rsid w:val="00AC75A3"/>
    <w:rsid w:val="00AC7AAC"/>
    <w:rsid w:val="00AC7B49"/>
    <w:rsid w:val="00AC7DE4"/>
    <w:rsid w:val="00AC7EBF"/>
    <w:rsid w:val="00AC7F5B"/>
    <w:rsid w:val="00AC7F7C"/>
    <w:rsid w:val="00AC7FEB"/>
    <w:rsid w:val="00AD041C"/>
    <w:rsid w:val="00AD044D"/>
    <w:rsid w:val="00AD0745"/>
    <w:rsid w:val="00AD07E2"/>
    <w:rsid w:val="00AD0AB0"/>
    <w:rsid w:val="00AD0C25"/>
    <w:rsid w:val="00AD0C47"/>
    <w:rsid w:val="00AD0CB6"/>
    <w:rsid w:val="00AD1045"/>
    <w:rsid w:val="00AD12DD"/>
    <w:rsid w:val="00AD16E4"/>
    <w:rsid w:val="00AD177F"/>
    <w:rsid w:val="00AD183A"/>
    <w:rsid w:val="00AD1DD6"/>
    <w:rsid w:val="00AD2863"/>
    <w:rsid w:val="00AD28CD"/>
    <w:rsid w:val="00AD2CA9"/>
    <w:rsid w:val="00AD2EC5"/>
    <w:rsid w:val="00AD2F36"/>
    <w:rsid w:val="00AD339B"/>
    <w:rsid w:val="00AD33D7"/>
    <w:rsid w:val="00AD360F"/>
    <w:rsid w:val="00AD37C8"/>
    <w:rsid w:val="00AD3BC9"/>
    <w:rsid w:val="00AD3D28"/>
    <w:rsid w:val="00AD3D6D"/>
    <w:rsid w:val="00AD3FBB"/>
    <w:rsid w:val="00AD4429"/>
    <w:rsid w:val="00AD473E"/>
    <w:rsid w:val="00AD4B24"/>
    <w:rsid w:val="00AD4E30"/>
    <w:rsid w:val="00AD558C"/>
    <w:rsid w:val="00AD55D3"/>
    <w:rsid w:val="00AD55FB"/>
    <w:rsid w:val="00AD5CE6"/>
    <w:rsid w:val="00AD5D22"/>
    <w:rsid w:val="00AD62AC"/>
    <w:rsid w:val="00AD639D"/>
    <w:rsid w:val="00AD67D0"/>
    <w:rsid w:val="00AD6817"/>
    <w:rsid w:val="00AD6ADE"/>
    <w:rsid w:val="00AD6CFC"/>
    <w:rsid w:val="00AD6D3C"/>
    <w:rsid w:val="00AD793A"/>
    <w:rsid w:val="00AD7962"/>
    <w:rsid w:val="00AD7A60"/>
    <w:rsid w:val="00AD7C6E"/>
    <w:rsid w:val="00AD7FE3"/>
    <w:rsid w:val="00AE05AB"/>
    <w:rsid w:val="00AE081A"/>
    <w:rsid w:val="00AE0A52"/>
    <w:rsid w:val="00AE0A54"/>
    <w:rsid w:val="00AE0C57"/>
    <w:rsid w:val="00AE1055"/>
    <w:rsid w:val="00AE11F2"/>
    <w:rsid w:val="00AE12BA"/>
    <w:rsid w:val="00AE165F"/>
    <w:rsid w:val="00AE17CC"/>
    <w:rsid w:val="00AE19B6"/>
    <w:rsid w:val="00AE1D62"/>
    <w:rsid w:val="00AE1DE0"/>
    <w:rsid w:val="00AE2829"/>
    <w:rsid w:val="00AE2942"/>
    <w:rsid w:val="00AE2A93"/>
    <w:rsid w:val="00AE2AD6"/>
    <w:rsid w:val="00AE2E81"/>
    <w:rsid w:val="00AE2F75"/>
    <w:rsid w:val="00AE3047"/>
    <w:rsid w:val="00AE34CA"/>
    <w:rsid w:val="00AE35B4"/>
    <w:rsid w:val="00AE37BD"/>
    <w:rsid w:val="00AE3957"/>
    <w:rsid w:val="00AE3A75"/>
    <w:rsid w:val="00AE3AE2"/>
    <w:rsid w:val="00AE3DD4"/>
    <w:rsid w:val="00AE3DDB"/>
    <w:rsid w:val="00AE405E"/>
    <w:rsid w:val="00AE4149"/>
    <w:rsid w:val="00AE4A30"/>
    <w:rsid w:val="00AE4A81"/>
    <w:rsid w:val="00AE5183"/>
    <w:rsid w:val="00AE5A25"/>
    <w:rsid w:val="00AE5AC1"/>
    <w:rsid w:val="00AE5D80"/>
    <w:rsid w:val="00AE5FF5"/>
    <w:rsid w:val="00AE6127"/>
    <w:rsid w:val="00AE6159"/>
    <w:rsid w:val="00AE62E8"/>
    <w:rsid w:val="00AE63B3"/>
    <w:rsid w:val="00AE6B6D"/>
    <w:rsid w:val="00AE6E25"/>
    <w:rsid w:val="00AE6E26"/>
    <w:rsid w:val="00AE6F0F"/>
    <w:rsid w:val="00AE713E"/>
    <w:rsid w:val="00AE760C"/>
    <w:rsid w:val="00AE76A7"/>
    <w:rsid w:val="00AE7C15"/>
    <w:rsid w:val="00AE7C58"/>
    <w:rsid w:val="00AE7D74"/>
    <w:rsid w:val="00AE7E3B"/>
    <w:rsid w:val="00AF03C7"/>
    <w:rsid w:val="00AF042F"/>
    <w:rsid w:val="00AF0565"/>
    <w:rsid w:val="00AF05EE"/>
    <w:rsid w:val="00AF0C58"/>
    <w:rsid w:val="00AF0C79"/>
    <w:rsid w:val="00AF0D37"/>
    <w:rsid w:val="00AF12AA"/>
    <w:rsid w:val="00AF134A"/>
    <w:rsid w:val="00AF161A"/>
    <w:rsid w:val="00AF16A3"/>
    <w:rsid w:val="00AF1754"/>
    <w:rsid w:val="00AF1804"/>
    <w:rsid w:val="00AF1A3A"/>
    <w:rsid w:val="00AF1AE3"/>
    <w:rsid w:val="00AF2186"/>
    <w:rsid w:val="00AF2524"/>
    <w:rsid w:val="00AF268F"/>
    <w:rsid w:val="00AF2844"/>
    <w:rsid w:val="00AF2A44"/>
    <w:rsid w:val="00AF2B95"/>
    <w:rsid w:val="00AF2C92"/>
    <w:rsid w:val="00AF303F"/>
    <w:rsid w:val="00AF31B8"/>
    <w:rsid w:val="00AF31E6"/>
    <w:rsid w:val="00AF35B4"/>
    <w:rsid w:val="00AF35DE"/>
    <w:rsid w:val="00AF3828"/>
    <w:rsid w:val="00AF3BD2"/>
    <w:rsid w:val="00AF3E96"/>
    <w:rsid w:val="00AF41A7"/>
    <w:rsid w:val="00AF41C6"/>
    <w:rsid w:val="00AF4464"/>
    <w:rsid w:val="00AF4761"/>
    <w:rsid w:val="00AF4920"/>
    <w:rsid w:val="00AF4A19"/>
    <w:rsid w:val="00AF4B56"/>
    <w:rsid w:val="00AF4C89"/>
    <w:rsid w:val="00AF4D22"/>
    <w:rsid w:val="00AF4E5C"/>
    <w:rsid w:val="00AF4F23"/>
    <w:rsid w:val="00AF55F7"/>
    <w:rsid w:val="00AF571E"/>
    <w:rsid w:val="00AF5A72"/>
    <w:rsid w:val="00AF5C6A"/>
    <w:rsid w:val="00AF5D1A"/>
    <w:rsid w:val="00AF5FFE"/>
    <w:rsid w:val="00AF629E"/>
    <w:rsid w:val="00AF65D8"/>
    <w:rsid w:val="00AF6697"/>
    <w:rsid w:val="00AF6975"/>
    <w:rsid w:val="00AF6C83"/>
    <w:rsid w:val="00AF6D76"/>
    <w:rsid w:val="00AF6DFA"/>
    <w:rsid w:val="00AF6FE4"/>
    <w:rsid w:val="00AF7352"/>
    <w:rsid w:val="00AF73CC"/>
    <w:rsid w:val="00AF7414"/>
    <w:rsid w:val="00AF7491"/>
    <w:rsid w:val="00AF7C4C"/>
    <w:rsid w:val="00AF7E06"/>
    <w:rsid w:val="00AF7FA7"/>
    <w:rsid w:val="00AF7FD8"/>
    <w:rsid w:val="00B00428"/>
    <w:rsid w:val="00B005B0"/>
    <w:rsid w:val="00B00699"/>
    <w:rsid w:val="00B00749"/>
    <w:rsid w:val="00B00783"/>
    <w:rsid w:val="00B00881"/>
    <w:rsid w:val="00B00BE4"/>
    <w:rsid w:val="00B00C15"/>
    <w:rsid w:val="00B00F56"/>
    <w:rsid w:val="00B01254"/>
    <w:rsid w:val="00B013B0"/>
    <w:rsid w:val="00B015A8"/>
    <w:rsid w:val="00B01A78"/>
    <w:rsid w:val="00B01E9A"/>
    <w:rsid w:val="00B02288"/>
    <w:rsid w:val="00B024E4"/>
    <w:rsid w:val="00B02D1B"/>
    <w:rsid w:val="00B02E18"/>
    <w:rsid w:val="00B02E8B"/>
    <w:rsid w:val="00B03441"/>
    <w:rsid w:val="00B03658"/>
    <w:rsid w:val="00B037B5"/>
    <w:rsid w:val="00B0381C"/>
    <w:rsid w:val="00B03B85"/>
    <w:rsid w:val="00B04094"/>
    <w:rsid w:val="00B0441F"/>
    <w:rsid w:val="00B04663"/>
    <w:rsid w:val="00B046D2"/>
    <w:rsid w:val="00B04AD0"/>
    <w:rsid w:val="00B05539"/>
    <w:rsid w:val="00B0562E"/>
    <w:rsid w:val="00B05784"/>
    <w:rsid w:val="00B05975"/>
    <w:rsid w:val="00B059F3"/>
    <w:rsid w:val="00B05A9B"/>
    <w:rsid w:val="00B05AF4"/>
    <w:rsid w:val="00B06074"/>
    <w:rsid w:val="00B06136"/>
    <w:rsid w:val="00B063AD"/>
    <w:rsid w:val="00B068FD"/>
    <w:rsid w:val="00B06AE7"/>
    <w:rsid w:val="00B077D3"/>
    <w:rsid w:val="00B077FE"/>
    <w:rsid w:val="00B07EA8"/>
    <w:rsid w:val="00B07F29"/>
    <w:rsid w:val="00B100D4"/>
    <w:rsid w:val="00B1015F"/>
    <w:rsid w:val="00B102C2"/>
    <w:rsid w:val="00B108D7"/>
    <w:rsid w:val="00B10E25"/>
    <w:rsid w:val="00B1115B"/>
    <w:rsid w:val="00B1176E"/>
    <w:rsid w:val="00B11C62"/>
    <w:rsid w:val="00B11DC9"/>
    <w:rsid w:val="00B11E12"/>
    <w:rsid w:val="00B12332"/>
    <w:rsid w:val="00B123F9"/>
    <w:rsid w:val="00B12498"/>
    <w:rsid w:val="00B126AB"/>
    <w:rsid w:val="00B12785"/>
    <w:rsid w:val="00B1287D"/>
    <w:rsid w:val="00B12D91"/>
    <w:rsid w:val="00B12F0E"/>
    <w:rsid w:val="00B12F44"/>
    <w:rsid w:val="00B12F5D"/>
    <w:rsid w:val="00B130E7"/>
    <w:rsid w:val="00B132CE"/>
    <w:rsid w:val="00B13882"/>
    <w:rsid w:val="00B139B9"/>
    <w:rsid w:val="00B14165"/>
    <w:rsid w:val="00B141D8"/>
    <w:rsid w:val="00B141EE"/>
    <w:rsid w:val="00B14349"/>
    <w:rsid w:val="00B1434C"/>
    <w:rsid w:val="00B1449B"/>
    <w:rsid w:val="00B14991"/>
    <w:rsid w:val="00B14AD5"/>
    <w:rsid w:val="00B14C6D"/>
    <w:rsid w:val="00B14DC6"/>
    <w:rsid w:val="00B14E15"/>
    <w:rsid w:val="00B14E2B"/>
    <w:rsid w:val="00B153C0"/>
    <w:rsid w:val="00B156A3"/>
    <w:rsid w:val="00B15D2C"/>
    <w:rsid w:val="00B15D64"/>
    <w:rsid w:val="00B16079"/>
    <w:rsid w:val="00B16277"/>
    <w:rsid w:val="00B162BA"/>
    <w:rsid w:val="00B166FC"/>
    <w:rsid w:val="00B16900"/>
    <w:rsid w:val="00B16DBB"/>
    <w:rsid w:val="00B1710E"/>
    <w:rsid w:val="00B17578"/>
    <w:rsid w:val="00B17641"/>
    <w:rsid w:val="00B178AE"/>
    <w:rsid w:val="00B17CB1"/>
    <w:rsid w:val="00B17F3B"/>
    <w:rsid w:val="00B17F59"/>
    <w:rsid w:val="00B205DF"/>
    <w:rsid w:val="00B206C2"/>
    <w:rsid w:val="00B208D4"/>
    <w:rsid w:val="00B20A6F"/>
    <w:rsid w:val="00B20C72"/>
    <w:rsid w:val="00B20DBF"/>
    <w:rsid w:val="00B20EA6"/>
    <w:rsid w:val="00B20FA6"/>
    <w:rsid w:val="00B20FF2"/>
    <w:rsid w:val="00B210FC"/>
    <w:rsid w:val="00B212B9"/>
    <w:rsid w:val="00B213F9"/>
    <w:rsid w:val="00B21569"/>
    <w:rsid w:val="00B21B55"/>
    <w:rsid w:val="00B21FD2"/>
    <w:rsid w:val="00B22226"/>
    <w:rsid w:val="00B2227E"/>
    <w:rsid w:val="00B2262F"/>
    <w:rsid w:val="00B22724"/>
    <w:rsid w:val="00B227B8"/>
    <w:rsid w:val="00B229B7"/>
    <w:rsid w:val="00B22AB3"/>
    <w:rsid w:val="00B22C20"/>
    <w:rsid w:val="00B22DF5"/>
    <w:rsid w:val="00B23267"/>
    <w:rsid w:val="00B2368B"/>
    <w:rsid w:val="00B2382F"/>
    <w:rsid w:val="00B23F4E"/>
    <w:rsid w:val="00B24570"/>
    <w:rsid w:val="00B24B6B"/>
    <w:rsid w:val="00B24C64"/>
    <w:rsid w:val="00B24C81"/>
    <w:rsid w:val="00B250A4"/>
    <w:rsid w:val="00B25112"/>
    <w:rsid w:val="00B25183"/>
    <w:rsid w:val="00B253D1"/>
    <w:rsid w:val="00B25507"/>
    <w:rsid w:val="00B2587B"/>
    <w:rsid w:val="00B25940"/>
    <w:rsid w:val="00B25A3D"/>
    <w:rsid w:val="00B25B0E"/>
    <w:rsid w:val="00B2602A"/>
    <w:rsid w:val="00B260B6"/>
    <w:rsid w:val="00B260FD"/>
    <w:rsid w:val="00B26564"/>
    <w:rsid w:val="00B26613"/>
    <w:rsid w:val="00B26619"/>
    <w:rsid w:val="00B2680C"/>
    <w:rsid w:val="00B26C7A"/>
    <w:rsid w:val="00B26E3C"/>
    <w:rsid w:val="00B270D8"/>
    <w:rsid w:val="00B27183"/>
    <w:rsid w:val="00B27375"/>
    <w:rsid w:val="00B276BB"/>
    <w:rsid w:val="00B27AF0"/>
    <w:rsid w:val="00B27BDC"/>
    <w:rsid w:val="00B30414"/>
    <w:rsid w:val="00B30651"/>
    <w:rsid w:val="00B308CD"/>
    <w:rsid w:val="00B30B98"/>
    <w:rsid w:val="00B3146D"/>
    <w:rsid w:val="00B31968"/>
    <w:rsid w:val="00B31AB4"/>
    <w:rsid w:val="00B31B2A"/>
    <w:rsid w:val="00B31BB0"/>
    <w:rsid w:val="00B31D0F"/>
    <w:rsid w:val="00B31E8C"/>
    <w:rsid w:val="00B3203B"/>
    <w:rsid w:val="00B320E5"/>
    <w:rsid w:val="00B32278"/>
    <w:rsid w:val="00B32B8C"/>
    <w:rsid w:val="00B32CB9"/>
    <w:rsid w:val="00B32ECF"/>
    <w:rsid w:val="00B33030"/>
    <w:rsid w:val="00B3309F"/>
    <w:rsid w:val="00B332AF"/>
    <w:rsid w:val="00B33479"/>
    <w:rsid w:val="00B33760"/>
    <w:rsid w:val="00B33820"/>
    <w:rsid w:val="00B338B4"/>
    <w:rsid w:val="00B33BF9"/>
    <w:rsid w:val="00B33D05"/>
    <w:rsid w:val="00B34051"/>
    <w:rsid w:val="00B34206"/>
    <w:rsid w:val="00B342C4"/>
    <w:rsid w:val="00B34317"/>
    <w:rsid w:val="00B343EE"/>
    <w:rsid w:val="00B3467F"/>
    <w:rsid w:val="00B346DC"/>
    <w:rsid w:val="00B3470F"/>
    <w:rsid w:val="00B348E9"/>
    <w:rsid w:val="00B34F81"/>
    <w:rsid w:val="00B355BB"/>
    <w:rsid w:val="00B35762"/>
    <w:rsid w:val="00B35966"/>
    <w:rsid w:val="00B35A76"/>
    <w:rsid w:val="00B35D1E"/>
    <w:rsid w:val="00B35D20"/>
    <w:rsid w:val="00B35E9B"/>
    <w:rsid w:val="00B36087"/>
    <w:rsid w:val="00B3609F"/>
    <w:rsid w:val="00B360F1"/>
    <w:rsid w:val="00B361D2"/>
    <w:rsid w:val="00B36520"/>
    <w:rsid w:val="00B3675E"/>
    <w:rsid w:val="00B36C4F"/>
    <w:rsid w:val="00B3740E"/>
    <w:rsid w:val="00B375E1"/>
    <w:rsid w:val="00B37A6B"/>
    <w:rsid w:val="00B37E22"/>
    <w:rsid w:val="00B37E37"/>
    <w:rsid w:val="00B40344"/>
    <w:rsid w:val="00B403CA"/>
    <w:rsid w:val="00B40649"/>
    <w:rsid w:val="00B406B8"/>
    <w:rsid w:val="00B40702"/>
    <w:rsid w:val="00B4089B"/>
    <w:rsid w:val="00B40C72"/>
    <w:rsid w:val="00B4101C"/>
    <w:rsid w:val="00B41183"/>
    <w:rsid w:val="00B41742"/>
    <w:rsid w:val="00B418C5"/>
    <w:rsid w:val="00B418CC"/>
    <w:rsid w:val="00B41AE0"/>
    <w:rsid w:val="00B4299F"/>
    <w:rsid w:val="00B42E1B"/>
    <w:rsid w:val="00B43333"/>
    <w:rsid w:val="00B4345D"/>
    <w:rsid w:val="00B436CD"/>
    <w:rsid w:val="00B436EA"/>
    <w:rsid w:val="00B43745"/>
    <w:rsid w:val="00B43750"/>
    <w:rsid w:val="00B43E4D"/>
    <w:rsid w:val="00B43EA2"/>
    <w:rsid w:val="00B44145"/>
    <w:rsid w:val="00B445BC"/>
    <w:rsid w:val="00B45192"/>
    <w:rsid w:val="00B454E5"/>
    <w:rsid w:val="00B456BF"/>
    <w:rsid w:val="00B45898"/>
    <w:rsid w:val="00B45C93"/>
    <w:rsid w:val="00B45DC1"/>
    <w:rsid w:val="00B460BE"/>
    <w:rsid w:val="00B46301"/>
    <w:rsid w:val="00B464BB"/>
    <w:rsid w:val="00B467EE"/>
    <w:rsid w:val="00B46956"/>
    <w:rsid w:val="00B46A56"/>
    <w:rsid w:val="00B46B33"/>
    <w:rsid w:val="00B46D30"/>
    <w:rsid w:val="00B46DA4"/>
    <w:rsid w:val="00B46F9A"/>
    <w:rsid w:val="00B47461"/>
    <w:rsid w:val="00B475D1"/>
    <w:rsid w:val="00B4773B"/>
    <w:rsid w:val="00B47904"/>
    <w:rsid w:val="00B4797C"/>
    <w:rsid w:val="00B47A11"/>
    <w:rsid w:val="00B5006B"/>
    <w:rsid w:val="00B500F6"/>
    <w:rsid w:val="00B5038D"/>
    <w:rsid w:val="00B50565"/>
    <w:rsid w:val="00B50919"/>
    <w:rsid w:val="00B50BC3"/>
    <w:rsid w:val="00B50FDA"/>
    <w:rsid w:val="00B51163"/>
    <w:rsid w:val="00B512BB"/>
    <w:rsid w:val="00B517FE"/>
    <w:rsid w:val="00B51A87"/>
    <w:rsid w:val="00B51D1B"/>
    <w:rsid w:val="00B51EAE"/>
    <w:rsid w:val="00B5232B"/>
    <w:rsid w:val="00B5238F"/>
    <w:rsid w:val="00B5258D"/>
    <w:rsid w:val="00B525BF"/>
    <w:rsid w:val="00B52774"/>
    <w:rsid w:val="00B52998"/>
    <w:rsid w:val="00B529E3"/>
    <w:rsid w:val="00B52B5D"/>
    <w:rsid w:val="00B52FE9"/>
    <w:rsid w:val="00B5308F"/>
    <w:rsid w:val="00B530CF"/>
    <w:rsid w:val="00B53207"/>
    <w:rsid w:val="00B53475"/>
    <w:rsid w:val="00B5370B"/>
    <w:rsid w:val="00B538DD"/>
    <w:rsid w:val="00B53B28"/>
    <w:rsid w:val="00B53C57"/>
    <w:rsid w:val="00B53DFF"/>
    <w:rsid w:val="00B53E01"/>
    <w:rsid w:val="00B53FCC"/>
    <w:rsid w:val="00B540EE"/>
    <w:rsid w:val="00B54839"/>
    <w:rsid w:val="00B54B74"/>
    <w:rsid w:val="00B54EAB"/>
    <w:rsid w:val="00B54FE6"/>
    <w:rsid w:val="00B55146"/>
    <w:rsid w:val="00B55282"/>
    <w:rsid w:val="00B553EA"/>
    <w:rsid w:val="00B55581"/>
    <w:rsid w:val="00B55651"/>
    <w:rsid w:val="00B55734"/>
    <w:rsid w:val="00B5596D"/>
    <w:rsid w:val="00B55BF7"/>
    <w:rsid w:val="00B55DA6"/>
    <w:rsid w:val="00B55E4C"/>
    <w:rsid w:val="00B561DF"/>
    <w:rsid w:val="00B5626D"/>
    <w:rsid w:val="00B56433"/>
    <w:rsid w:val="00B56524"/>
    <w:rsid w:val="00B567DA"/>
    <w:rsid w:val="00B56A5D"/>
    <w:rsid w:val="00B56DB5"/>
    <w:rsid w:val="00B56E70"/>
    <w:rsid w:val="00B57348"/>
    <w:rsid w:val="00B573CD"/>
    <w:rsid w:val="00B5747A"/>
    <w:rsid w:val="00B57540"/>
    <w:rsid w:val="00B578F9"/>
    <w:rsid w:val="00B57A86"/>
    <w:rsid w:val="00B57BD4"/>
    <w:rsid w:val="00B57C8B"/>
    <w:rsid w:val="00B57D52"/>
    <w:rsid w:val="00B57D79"/>
    <w:rsid w:val="00B57ECC"/>
    <w:rsid w:val="00B57FAC"/>
    <w:rsid w:val="00B601C4"/>
    <w:rsid w:val="00B60264"/>
    <w:rsid w:val="00B60390"/>
    <w:rsid w:val="00B603CE"/>
    <w:rsid w:val="00B60603"/>
    <w:rsid w:val="00B6060E"/>
    <w:rsid w:val="00B609F1"/>
    <w:rsid w:val="00B61171"/>
    <w:rsid w:val="00B612F1"/>
    <w:rsid w:val="00B6143B"/>
    <w:rsid w:val="00B617AA"/>
    <w:rsid w:val="00B61912"/>
    <w:rsid w:val="00B61B66"/>
    <w:rsid w:val="00B61CE6"/>
    <w:rsid w:val="00B62538"/>
    <w:rsid w:val="00B62852"/>
    <w:rsid w:val="00B62904"/>
    <w:rsid w:val="00B62E9A"/>
    <w:rsid w:val="00B62F00"/>
    <w:rsid w:val="00B62F61"/>
    <w:rsid w:val="00B63A95"/>
    <w:rsid w:val="00B645AD"/>
    <w:rsid w:val="00B64BDD"/>
    <w:rsid w:val="00B64CA4"/>
    <w:rsid w:val="00B64CAB"/>
    <w:rsid w:val="00B64D71"/>
    <w:rsid w:val="00B64E10"/>
    <w:rsid w:val="00B65066"/>
    <w:rsid w:val="00B6514E"/>
    <w:rsid w:val="00B6565B"/>
    <w:rsid w:val="00B656DE"/>
    <w:rsid w:val="00B659CD"/>
    <w:rsid w:val="00B65E3A"/>
    <w:rsid w:val="00B661FF"/>
    <w:rsid w:val="00B66639"/>
    <w:rsid w:val="00B6698E"/>
    <w:rsid w:val="00B66C0A"/>
    <w:rsid w:val="00B66C3A"/>
    <w:rsid w:val="00B66D03"/>
    <w:rsid w:val="00B66FD0"/>
    <w:rsid w:val="00B67081"/>
    <w:rsid w:val="00B6737A"/>
    <w:rsid w:val="00B67D24"/>
    <w:rsid w:val="00B70BEF"/>
    <w:rsid w:val="00B70EBE"/>
    <w:rsid w:val="00B71299"/>
    <w:rsid w:val="00B713C5"/>
    <w:rsid w:val="00B714FC"/>
    <w:rsid w:val="00B71608"/>
    <w:rsid w:val="00B7175A"/>
    <w:rsid w:val="00B71B5C"/>
    <w:rsid w:val="00B71B8F"/>
    <w:rsid w:val="00B71D2F"/>
    <w:rsid w:val="00B71F6D"/>
    <w:rsid w:val="00B72077"/>
    <w:rsid w:val="00B72564"/>
    <w:rsid w:val="00B728FD"/>
    <w:rsid w:val="00B72AD0"/>
    <w:rsid w:val="00B72BD4"/>
    <w:rsid w:val="00B72BDA"/>
    <w:rsid w:val="00B72E9F"/>
    <w:rsid w:val="00B72EF8"/>
    <w:rsid w:val="00B72FCA"/>
    <w:rsid w:val="00B73200"/>
    <w:rsid w:val="00B7320D"/>
    <w:rsid w:val="00B734B6"/>
    <w:rsid w:val="00B736D9"/>
    <w:rsid w:val="00B737E2"/>
    <w:rsid w:val="00B73BAC"/>
    <w:rsid w:val="00B73D52"/>
    <w:rsid w:val="00B73FA0"/>
    <w:rsid w:val="00B74095"/>
    <w:rsid w:val="00B74187"/>
    <w:rsid w:val="00B74472"/>
    <w:rsid w:val="00B74667"/>
    <w:rsid w:val="00B74B5D"/>
    <w:rsid w:val="00B74E0F"/>
    <w:rsid w:val="00B754A0"/>
    <w:rsid w:val="00B75533"/>
    <w:rsid w:val="00B7563F"/>
    <w:rsid w:val="00B757A3"/>
    <w:rsid w:val="00B75E34"/>
    <w:rsid w:val="00B75E50"/>
    <w:rsid w:val="00B75F0B"/>
    <w:rsid w:val="00B75F94"/>
    <w:rsid w:val="00B76542"/>
    <w:rsid w:val="00B769A3"/>
    <w:rsid w:val="00B76A48"/>
    <w:rsid w:val="00B76BE2"/>
    <w:rsid w:val="00B7735A"/>
    <w:rsid w:val="00B7739A"/>
    <w:rsid w:val="00B7765F"/>
    <w:rsid w:val="00B776E5"/>
    <w:rsid w:val="00B7792A"/>
    <w:rsid w:val="00B77AB7"/>
    <w:rsid w:val="00B77DE1"/>
    <w:rsid w:val="00B77ED7"/>
    <w:rsid w:val="00B77F6F"/>
    <w:rsid w:val="00B80007"/>
    <w:rsid w:val="00B80010"/>
    <w:rsid w:val="00B8009B"/>
    <w:rsid w:val="00B8015F"/>
    <w:rsid w:val="00B80354"/>
    <w:rsid w:val="00B803D3"/>
    <w:rsid w:val="00B805AB"/>
    <w:rsid w:val="00B807E0"/>
    <w:rsid w:val="00B80C6E"/>
    <w:rsid w:val="00B80D8E"/>
    <w:rsid w:val="00B81239"/>
    <w:rsid w:val="00B81321"/>
    <w:rsid w:val="00B8145A"/>
    <w:rsid w:val="00B81DEB"/>
    <w:rsid w:val="00B81E5E"/>
    <w:rsid w:val="00B81F53"/>
    <w:rsid w:val="00B82618"/>
    <w:rsid w:val="00B82A02"/>
    <w:rsid w:val="00B82B00"/>
    <w:rsid w:val="00B82B23"/>
    <w:rsid w:val="00B82E9D"/>
    <w:rsid w:val="00B83034"/>
    <w:rsid w:val="00B8323B"/>
    <w:rsid w:val="00B83537"/>
    <w:rsid w:val="00B8354A"/>
    <w:rsid w:val="00B83662"/>
    <w:rsid w:val="00B83733"/>
    <w:rsid w:val="00B83758"/>
    <w:rsid w:val="00B83857"/>
    <w:rsid w:val="00B838A9"/>
    <w:rsid w:val="00B839F4"/>
    <w:rsid w:val="00B8406A"/>
    <w:rsid w:val="00B84589"/>
    <w:rsid w:val="00B8459C"/>
    <w:rsid w:val="00B8485B"/>
    <w:rsid w:val="00B848AA"/>
    <w:rsid w:val="00B84D1E"/>
    <w:rsid w:val="00B85007"/>
    <w:rsid w:val="00B8529A"/>
    <w:rsid w:val="00B8595C"/>
    <w:rsid w:val="00B859D5"/>
    <w:rsid w:val="00B85A56"/>
    <w:rsid w:val="00B85B6F"/>
    <w:rsid w:val="00B85C37"/>
    <w:rsid w:val="00B85CE9"/>
    <w:rsid w:val="00B85DAE"/>
    <w:rsid w:val="00B85F9A"/>
    <w:rsid w:val="00B86266"/>
    <w:rsid w:val="00B864DB"/>
    <w:rsid w:val="00B869DE"/>
    <w:rsid w:val="00B86CDF"/>
    <w:rsid w:val="00B86F7C"/>
    <w:rsid w:val="00B87226"/>
    <w:rsid w:val="00B87402"/>
    <w:rsid w:val="00B874BE"/>
    <w:rsid w:val="00B877CE"/>
    <w:rsid w:val="00B878D3"/>
    <w:rsid w:val="00B87C5D"/>
    <w:rsid w:val="00B87FC5"/>
    <w:rsid w:val="00B87FCB"/>
    <w:rsid w:val="00B87FD7"/>
    <w:rsid w:val="00B87FDC"/>
    <w:rsid w:val="00B90053"/>
    <w:rsid w:val="00B900B5"/>
    <w:rsid w:val="00B9012B"/>
    <w:rsid w:val="00B9026F"/>
    <w:rsid w:val="00B90297"/>
    <w:rsid w:val="00B90313"/>
    <w:rsid w:val="00B904DF"/>
    <w:rsid w:val="00B90514"/>
    <w:rsid w:val="00B90746"/>
    <w:rsid w:val="00B90C6A"/>
    <w:rsid w:val="00B90E26"/>
    <w:rsid w:val="00B9116A"/>
    <w:rsid w:val="00B9142C"/>
    <w:rsid w:val="00B9185B"/>
    <w:rsid w:val="00B91F58"/>
    <w:rsid w:val="00B91FE5"/>
    <w:rsid w:val="00B92238"/>
    <w:rsid w:val="00B923B2"/>
    <w:rsid w:val="00B9244E"/>
    <w:rsid w:val="00B92740"/>
    <w:rsid w:val="00B92842"/>
    <w:rsid w:val="00B92AFC"/>
    <w:rsid w:val="00B92B65"/>
    <w:rsid w:val="00B93243"/>
    <w:rsid w:val="00B93337"/>
    <w:rsid w:val="00B93401"/>
    <w:rsid w:val="00B93517"/>
    <w:rsid w:val="00B93AE5"/>
    <w:rsid w:val="00B93C79"/>
    <w:rsid w:val="00B93F44"/>
    <w:rsid w:val="00B94032"/>
    <w:rsid w:val="00B94082"/>
    <w:rsid w:val="00B941CE"/>
    <w:rsid w:val="00B943DC"/>
    <w:rsid w:val="00B94601"/>
    <w:rsid w:val="00B94712"/>
    <w:rsid w:val="00B94729"/>
    <w:rsid w:val="00B947A1"/>
    <w:rsid w:val="00B94965"/>
    <w:rsid w:val="00B94C3D"/>
    <w:rsid w:val="00B94FF3"/>
    <w:rsid w:val="00B95306"/>
    <w:rsid w:val="00B95909"/>
    <w:rsid w:val="00B95D23"/>
    <w:rsid w:val="00B961B1"/>
    <w:rsid w:val="00B96506"/>
    <w:rsid w:val="00B96574"/>
    <w:rsid w:val="00B965E1"/>
    <w:rsid w:val="00B9674F"/>
    <w:rsid w:val="00B96B9A"/>
    <w:rsid w:val="00B973B1"/>
    <w:rsid w:val="00B97655"/>
    <w:rsid w:val="00B97FAB"/>
    <w:rsid w:val="00BA0194"/>
    <w:rsid w:val="00BA01C9"/>
    <w:rsid w:val="00BA0553"/>
    <w:rsid w:val="00BA09C7"/>
    <w:rsid w:val="00BA0C22"/>
    <w:rsid w:val="00BA0D0A"/>
    <w:rsid w:val="00BA0FAE"/>
    <w:rsid w:val="00BA117B"/>
    <w:rsid w:val="00BA11D7"/>
    <w:rsid w:val="00BA13C6"/>
    <w:rsid w:val="00BA13E2"/>
    <w:rsid w:val="00BA1538"/>
    <w:rsid w:val="00BA1752"/>
    <w:rsid w:val="00BA1A7C"/>
    <w:rsid w:val="00BA1DC3"/>
    <w:rsid w:val="00BA1E3B"/>
    <w:rsid w:val="00BA1EEF"/>
    <w:rsid w:val="00BA22B8"/>
    <w:rsid w:val="00BA2490"/>
    <w:rsid w:val="00BA283E"/>
    <w:rsid w:val="00BA2990"/>
    <w:rsid w:val="00BA29E9"/>
    <w:rsid w:val="00BA2A5F"/>
    <w:rsid w:val="00BA2D5A"/>
    <w:rsid w:val="00BA35AB"/>
    <w:rsid w:val="00BA361F"/>
    <w:rsid w:val="00BA393F"/>
    <w:rsid w:val="00BA3CAC"/>
    <w:rsid w:val="00BA3CD2"/>
    <w:rsid w:val="00BA4505"/>
    <w:rsid w:val="00BA4522"/>
    <w:rsid w:val="00BA46AD"/>
    <w:rsid w:val="00BA480E"/>
    <w:rsid w:val="00BA48FE"/>
    <w:rsid w:val="00BA4F1B"/>
    <w:rsid w:val="00BA51EE"/>
    <w:rsid w:val="00BA5859"/>
    <w:rsid w:val="00BA5CCF"/>
    <w:rsid w:val="00BA5D29"/>
    <w:rsid w:val="00BA5EEF"/>
    <w:rsid w:val="00BA639D"/>
    <w:rsid w:val="00BA678D"/>
    <w:rsid w:val="00BA68FD"/>
    <w:rsid w:val="00BA6A25"/>
    <w:rsid w:val="00BA6E06"/>
    <w:rsid w:val="00BA718C"/>
    <w:rsid w:val="00BA7308"/>
    <w:rsid w:val="00BA7392"/>
    <w:rsid w:val="00BA76E0"/>
    <w:rsid w:val="00BA76E2"/>
    <w:rsid w:val="00BA7B60"/>
    <w:rsid w:val="00BA7DC9"/>
    <w:rsid w:val="00BB0277"/>
    <w:rsid w:val="00BB036B"/>
    <w:rsid w:val="00BB0E9E"/>
    <w:rsid w:val="00BB0F2F"/>
    <w:rsid w:val="00BB10A1"/>
    <w:rsid w:val="00BB13EF"/>
    <w:rsid w:val="00BB14DE"/>
    <w:rsid w:val="00BB1536"/>
    <w:rsid w:val="00BB1C5D"/>
    <w:rsid w:val="00BB222A"/>
    <w:rsid w:val="00BB25B3"/>
    <w:rsid w:val="00BB25E6"/>
    <w:rsid w:val="00BB2632"/>
    <w:rsid w:val="00BB27BA"/>
    <w:rsid w:val="00BB2BCF"/>
    <w:rsid w:val="00BB2CF3"/>
    <w:rsid w:val="00BB2E15"/>
    <w:rsid w:val="00BB2E5C"/>
    <w:rsid w:val="00BB2EC8"/>
    <w:rsid w:val="00BB3740"/>
    <w:rsid w:val="00BB3A1F"/>
    <w:rsid w:val="00BB3B0F"/>
    <w:rsid w:val="00BB3CDB"/>
    <w:rsid w:val="00BB4161"/>
    <w:rsid w:val="00BB41C8"/>
    <w:rsid w:val="00BB4642"/>
    <w:rsid w:val="00BB4754"/>
    <w:rsid w:val="00BB47D1"/>
    <w:rsid w:val="00BB498B"/>
    <w:rsid w:val="00BB4C28"/>
    <w:rsid w:val="00BB4D8B"/>
    <w:rsid w:val="00BB4EB2"/>
    <w:rsid w:val="00BB51E7"/>
    <w:rsid w:val="00BB5592"/>
    <w:rsid w:val="00BB57E2"/>
    <w:rsid w:val="00BB5E02"/>
    <w:rsid w:val="00BB5E64"/>
    <w:rsid w:val="00BB5ECD"/>
    <w:rsid w:val="00BB63DB"/>
    <w:rsid w:val="00BB6594"/>
    <w:rsid w:val="00BB668F"/>
    <w:rsid w:val="00BB6692"/>
    <w:rsid w:val="00BB6775"/>
    <w:rsid w:val="00BB694F"/>
    <w:rsid w:val="00BB6A2C"/>
    <w:rsid w:val="00BB6A3D"/>
    <w:rsid w:val="00BB6A7B"/>
    <w:rsid w:val="00BB6AB6"/>
    <w:rsid w:val="00BB6C31"/>
    <w:rsid w:val="00BB6D87"/>
    <w:rsid w:val="00BB6F10"/>
    <w:rsid w:val="00BB7167"/>
    <w:rsid w:val="00BB7298"/>
    <w:rsid w:val="00BB7470"/>
    <w:rsid w:val="00BB75A4"/>
    <w:rsid w:val="00BB7A23"/>
    <w:rsid w:val="00BB7BF9"/>
    <w:rsid w:val="00BB7DF4"/>
    <w:rsid w:val="00BC0019"/>
    <w:rsid w:val="00BC01DB"/>
    <w:rsid w:val="00BC02D5"/>
    <w:rsid w:val="00BC03F9"/>
    <w:rsid w:val="00BC0449"/>
    <w:rsid w:val="00BC0541"/>
    <w:rsid w:val="00BC0761"/>
    <w:rsid w:val="00BC08AD"/>
    <w:rsid w:val="00BC08FA"/>
    <w:rsid w:val="00BC093C"/>
    <w:rsid w:val="00BC0A75"/>
    <w:rsid w:val="00BC0B7F"/>
    <w:rsid w:val="00BC0CC9"/>
    <w:rsid w:val="00BC0E61"/>
    <w:rsid w:val="00BC11FF"/>
    <w:rsid w:val="00BC180A"/>
    <w:rsid w:val="00BC1B62"/>
    <w:rsid w:val="00BC1D4D"/>
    <w:rsid w:val="00BC2243"/>
    <w:rsid w:val="00BC23E1"/>
    <w:rsid w:val="00BC25FF"/>
    <w:rsid w:val="00BC2800"/>
    <w:rsid w:val="00BC2C89"/>
    <w:rsid w:val="00BC2F5E"/>
    <w:rsid w:val="00BC3440"/>
    <w:rsid w:val="00BC40EE"/>
    <w:rsid w:val="00BC4414"/>
    <w:rsid w:val="00BC46EF"/>
    <w:rsid w:val="00BC474B"/>
    <w:rsid w:val="00BC4A20"/>
    <w:rsid w:val="00BC4A60"/>
    <w:rsid w:val="00BC4B95"/>
    <w:rsid w:val="00BC4D76"/>
    <w:rsid w:val="00BC4EA3"/>
    <w:rsid w:val="00BC4EBF"/>
    <w:rsid w:val="00BC51FA"/>
    <w:rsid w:val="00BC54A1"/>
    <w:rsid w:val="00BC591C"/>
    <w:rsid w:val="00BC59B7"/>
    <w:rsid w:val="00BC59D3"/>
    <w:rsid w:val="00BC5EEB"/>
    <w:rsid w:val="00BC6665"/>
    <w:rsid w:val="00BC6786"/>
    <w:rsid w:val="00BC6C55"/>
    <w:rsid w:val="00BC6FF3"/>
    <w:rsid w:val="00BC76DA"/>
    <w:rsid w:val="00BC7B40"/>
    <w:rsid w:val="00BD016B"/>
    <w:rsid w:val="00BD01D4"/>
    <w:rsid w:val="00BD01EE"/>
    <w:rsid w:val="00BD0246"/>
    <w:rsid w:val="00BD090D"/>
    <w:rsid w:val="00BD0910"/>
    <w:rsid w:val="00BD0BA9"/>
    <w:rsid w:val="00BD12D8"/>
    <w:rsid w:val="00BD12F0"/>
    <w:rsid w:val="00BD1668"/>
    <w:rsid w:val="00BD1CE9"/>
    <w:rsid w:val="00BD1DF2"/>
    <w:rsid w:val="00BD1E86"/>
    <w:rsid w:val="00BD2125"/>
    <w:rsid w:val="00BD223C"/>
    <w:rsid w:val="00BD239C"/>
    <w:rsid w:val="00BD240B"/>
    <w:rsid w:val="00BD2460"/>
    <w:rsid w:val="00BD25A3"/>
    <w:rsid w:val="00BD262B"/>
    <w:rsid w:val="00BD27A3"/>
    <w:rsid w:val="00BD33DE"/>
    <w:rsid w:val="00BD3402"/>
    <w:rsid w:val="00BD3410"/>
    <w:rsid w:val="00BD362D"/>
    <w:rsid w:val="00BD36E9"/>
    <w:rsid w:val="00BD3BAF"/>
    <w:rsid w:val="00BD3E96"/>
    <w:rsid w:val="00BD3F50"/>
    <w:rsid w:val="00BD42C2"/>
    <w:rsid w:val="00BD45E8"/>
    <w:rsid w:val="00BD460B"/>
    <w:rsid w:val="00BD52F1"/>
    <w:rsid w:val="00BD58C8"/>
    <w:rsid w:val="00BD5917"/>
    <w:rsid w:val="00BD6056"/>
    <w:rsid w:val="00BD60AB"/>
    <w:rsid w:val="00BD6117"/>
    <w:rsid w:val="00BD62A2"/>
    <w:rsid w:val="00BD63AF"/>
    <w:rsid w:val="00BD6433"/>
    <w:rsid w:val="00BD6524"/>
    <w:rsid w:val="00BD6901"/>
    <w:rsid w:val="00BD6A11"/>
    <w:rsid w:val="00BD6DC5"/>
    <w:rsid w:val="00BD7134"/>
    <w:rsid w:val="00BD725A"/>
    <w:rsid w:val="00BD729D"/>
    <w:rsid w:val="00BD733C"/>
    <w:rsid w:val="00BD7881"/>
    <w:rsid w:val="00BD789A"/>
    <w:rsid w:val="00BD789B"/>
    <w:rsid w:val="00BD7A99"/>
    <w:rsid w:val="00BD7B1F"/>
    <w:rsid w:val="00BD7C89"/>
    <w:rsid w:val="00BD7EDE"/>
    <w:rsid w:val="00BD7F5F"/>
    <w:rsid w:val="00BD7F75"/>
    <w:rsid w:val="00BE016B"/>
    <w:rsid w:val="00BE0304"/>
    <w:rsid w:val="00BE050E"/>
    <w:rsid w:val="00BE0BEF"/>
    <w:rsid w:val="00BE0E5D"/>
    <w:rsid w:val="00BE0E8C"/>
    <w:rsid w:val="00BE0FE4"/>
    <w:rsid w:val="00BE10BE"/>
    <w:rsid w:val="00BE1502"/>
    <w:rsid w:val="00BE1679"/>
    <w:rsid w:val="00BE1884"/>
    <w:rsid w:val="00BE2164"/>
    <w:rsid w:val="00BE22CA"/>
    <w:rsid w:val="00BE243F"/>
    <w:rsid w:val="00BE24B0"/>
    <w:rsid w:val="00BE2B4D"/>
    <w:rsid w:val="00BE2EB8"/>
    <w:rsid w:val="00BE2F35"/>
    <w:rsid w:val="00BE3310"/>
    <w:rsid w:val="00BE348C"/>
    <w:rsid w:val="00BE3A2F"/>
    <w:rsid w:val="00BE3A35"/>
    <w:rsid w:val="00BE3BDC"/>
    <w:rsid w:val="00BE3BE4"/>
    <w:rsid w:val="00BE3D7F"/>
    <w:rsid w:val="00BE3DC0"/>
    <w:rsid w:val="00BE41DD"/>
    <w:rsid w:val="00BE4661"/>
    <w:rsid w:val="00BE4C50"/>
    <w:rsid w:val="00BE4CD5"/>
    <w:rsid w:val="00BE5232"/>
    <w:rsid w:val="00BE53F2"/>
    <w:rsid w:val="00BE584F"/>
    <w:rsid w:val="00BE5858"/>
    <w:rsid w:val="00BE5925"/>
    <w:rsid w:val="00BE5AC6"/>
    <w:rsid w:val="00BE5ACD"/>
    <w:rsid w:val="00BE5C6B"/>
    <w:rsid w:val="00BE68B2"/>
    <w:rsid w:val="00BE6C2C"/>
    <w:rsid w:val="00BE6D5D"/>
    <w:rsid w:val="00BE7027"/>
    <w:rsid w:val="00BE72CA"/>
    <w:rsid w:val="00BE7328"/>
    <w:rsid w:val="00BE73EB"/>
    <w:rsid w:val="00BE7422"/>
    <w:rsid w:val="00BE76AE"/>
    <w:rsid w:val="00BE76F6"/>
    <w:rsid w:val="00BE776B"/>
    <w:rsid w:val="00BE77DD"/>
    <w:rsid w:val="00BE7889"/>
    <w:rsid w:val="00BE78A3"/>
    <w:rsid w:val="00BE7DA9"/>
    <w:rsid w:val="00BE7E03"/>
    <w:rsid w:val="00BE7F5C"/>
    <w:rsid w:val="00BF0333"/>
    <w:rsid w:val="00BF051F"/>
    <w:rsid w:val="00BF0621"/>
    <w:rsid w:val="00BF0673"/>
    <w:rsid w:val="00BF07A1"/>
    <w:rsid w:val="00BF0DC7"/>
    <w:rsid w:val="00BF0EEF"/>
    <w:rsid w:val="00BF0FE1"/>
    <w:rsid w:val="00BF1159"/>
    <w:rsid w:val="00BF151B"/>
    <w:rsid w:val="00BF1940"/>
    <w:rsid w:val="00BF1A4A"/>
    <w:rsid w:val="00BF1C8B"/>
    <w:rsid w:val="00BF1CE4"/>
    <w:rsid w:val="00BF21CB"/>
    <w:rsid w:val="00BF25B1"/>
    <w:rsid w:val="00BF262A"/>
    <w:rsid w:val="00BF30F8"/>
    <w:rsid w:val="00BF360E"/>
    <w:rsid w:val="00BF3694"/>
    <w:rsid w:val="00BF36F4"/>
    <w:rsid w:val="00BF3969"/>
    <w:rsid w:val="00BF3C09"/>
    <w:rsid w:val="00BF3C3A"/>
    <w:rsid w:val="00BF4242"/>
    <w:rsid w:val="00BF4850"/>
    <w:rsid w:val="00BF48BC"/>
    <w:rsid w:val="00BF48CD"/>
    <w:rsid w:val="00BF5123"/>
    <w:rsid w:val="00BF51D0"/>
    <w:rsid w:val="00BF532D"/>
    <w:rsid w:val="00BF5627"/>
    <w:rsid w:val="00BF566F"/>
    <w:rsid w:val="00BF577D"/>
    <w:rsid w:val="00BF5BB8"/>
    <w:rsid w:val="00BF5D26"/>
    <w:rsid w:val="00BF60B2"/>
    <w:rsid w:val="00BF63DB"/>
    <w:rsid w:val="00BF666A"/>
    <w:rsid w:val="00BF69E4"/>
    <w:rsid w:val="00BF6AF7"/>
    <w:rsid w:val="00BF6B70"/>
    <w:rsid w:val="00BF6D0A"/>
    <w:rsid w:val="00BF6EA2"/>
    <w:rsid w:val="00BF71C5"/>
    <w:rsid w:val="00BF741A"/>
    <w:rsid w:val="00BF7C53"/>
    <w:rsid w:val="00BF7C5A"/>
    <w:rsid w:val="00BF7DCD"/>
    <w:rsid w:val="00BF7F05"/>
    <w:rsid w:val="00BF7F4C"/>
    <w:rsid w:val="00C00394"/>
    <w:rsid w:val="00C0064D"/>
    <w:rsid w:val="00C006F6"/>
    <w:rsid w:val="00C0081F"/>
    <w:rsid w:val="00C00AF2"/>
    <w:rsid w:val="00C00F5C"/>
    <w:rsid w:val="00C01693"/>
    <w:rsid w:val="00C01728"/>
    <w:rsid w:val="00C01A20"/>
    <w:rsid w:val="00C01C9D"/>
    <w:rsid w:val="00C01D82"/>
    <w:rsid w:val="00C01DE9"/>
    <w:rsid w:val="00C01F45"/>
    <w:rsid w:val="00C0244A"/>
    <w:rsid w:val="00C026F0"/>
    <w:rsid w:val="00C02A98"/>
    <w:rsid w:val="00C02C38"/>
    <w:rsid w:val="00C032FF"/>
    <w:rsid w:val="00C03301"/>
    <w:rsid w:val="00C03AC4"/>
    <w:rsid w:val="00C03E71"/>
    <w:rsid w:val="00C03EA2"/>
    <w:rsid w:val="00C04241"/>
    <w:rsid w:val="00C042D4"/>
    <w:rsid w:val="00C045B7"/>
    <w:rsid w:val="00C04781"/>
    <w:rsid w:val="00C049E6"/>
    <w:rsid w:val="00C04C47"/>
    <w:rsid w:val="00C04D38"/>
    <w:rsid w:val="00C053CC"/>
    <w:rsid w:val="00C05512"/>
    <w:rsid w:val="00C055F8"/>
    <w:rsid w:val="00C058A5"/>
    <w:rsid w:val="00C058C9"/>
    <w:rsid w:val="00C0594D"/>
    <w:rsid w:val="00C059D6"/>
    <w:rsid w:val="00C05AAA"/>
    <w:rsid w:val="00C05C7F"/>
    <w:rsid w:val="00C05C9D"/>
    <w:rsid w:val="00C05DA2"/>
    <w:rsid w:val="00C05EA2"/>
    <w:rsid w:val="00C05FBE"/>
    <w:rsid w:val="00C0641B"/>
    <w:rsid w:val="00C06483"/>
    <w:rsid w:val="00C06894"/>
    <w:rsid w:val="00C06927"/>
    <w:rsid w:val="00C06B2F"/>
    <w:rsid w:val="00C06E4D"/>
    <w:rsid w:val="00C0702C"/>
    <w:rsid w:val="00C07287"/>
    <w:rsid w:val="00C07602"/>
    <w:rsid w:val="00C07CA9"/>
    <w:rsid w:val="00C07D65"/>
    <w:rsid w:val="00C07E55"/>
    <w:rsid w:val="00C10064"/>
    <w:rsid w:val="00C100E7"/>
    <w:rsid w:val="00C10150"/>
    <w:rsid w:val="00C1080A"/>
    <w:rsid w:val="00C10906"/>
    <w:rsid w:val="00C10C5D"/>
    <w:rsid w:val="00C10E4A"/>
    <w:rsid w:val="00C10E9C"/>
    <w:rsid w:val="00C11436"/>
    <w:rsid w:val="00C114FC"/>
    <w:rsid w:val="00C117A7"/>
    <w:rsid w:val="00C11B94"/>
    <w:rsid w:val="00C11B9B"/>
    <w:rsid w:val="00C11E05"/>
    <w:rsid w:val="00C12885"/>
    <w:rsid w:val="00C12ADB"/>
    <w:rsid w:val="00C12B65"/>
    <w:rsid w:val="00C12F4A"/>
    <w:rsid w:val="00C12F9F"/>
    <w:rsid w:val="00C12FB3"/>
    <w:rsid w:val="00C13212"/>
    <w:rsid w:val="00C1388B"/>
    <w:rsid w:val="00C138A6"/>
    <w:rsid w:val="00C138EF"/>
    <w:rsid w:val="00C139E5"/>
    <w:rsid w:val="00C13C29"/>
    <w:rsid w:val="00C13F29"/>
    <w:rsid w:val="00C1409F"/>
    <w:rsid w:val="00C1438E"/>
    <w:rsid w:val="00C146D7"/>
    <w:rsid w:val="00C14784"/>
    <w:rsid w:val="00C14884"/>
    <w:rsid w:val="00C148CF"/>
    <w:rsid w:val="00C149F2"/>
    <w:rsid w:val="00C14C1C"/>
    <w:rsid w:val="00C14FD5"/>
    <w:rsid w:val="00C151C3"/>
    <w:rsid w:val="00C152A8"/>
    <w:rsid w:val="00C15457"/>
    <w:rsid w:val="00C154C3"/>
    <w:rsid w:val="00C15579"/>
    <w:rsid w:val="00C15893"/>
    <w:rsid w:val="00C15C26"/>
    <w:rsid w:val="00C15EAE"/>
    <w:rsid w:val="00C15F28"/>
    <w:rsid w:val="00C16483"/>
    <w:rsid w:val="00C16889"/>
    <w:rsid w:val="00C16B47"/>
    <w:rsid w:val="00C16BB0"/>
    <w:rsid w:val="00C16C36"/>
    <w:rsid w:val="00C16DB1"/>
    <w:rsid w:val="00C16DEF"/>
    <w:rsid w:val="00C170A7"/>
    <w:rsid w:val="00C170F1"/>
    <w:rsid w:val="00C171F3"/>
    <w:rsid w:val="00C172B8"/>
    <w:rsid w:val="00C172D5"/>
    <w:rsid w:val="00C17397"/>
    <w:rsid w:val="00C17404"/>
    <w:rsid w:val="00C1782A"/>
    <w:rsid w:val="00C179A1"/>
    <w:rsid w:val="00C17AA0"/>
    <w:rsid w:val="00C17B3C"/>
    <w:rsid w:val="00C17D85"/>
    <w:rsid w:val="00C17F9A"/>
    <w:rsid w:val="00C207C6"/>
    <w:rsid w:val="00C20AE8"/>
    <w:rsid w:val="00C20B69"/>
    <w:rsid w:val="00C21379"/>
    <w:rsid w:val="00C21465"/>
    <w:rsid w:val="00C21616"/>
    <w:rsid w:val="00C21968"/>
    <w:rsid w:val="00C21AF2"/>
    <w:rsid w:val="00C221FB"/>
    <w:rsid w:val="00C22502"/>
    <w:rsid w:val="00C22513"/>
    <w:rsid w:val="00C2258B"/>
    <w:rsid w:val="00C229F9"/>
    <w:rsid w:val="00C22B66"/>
    <w:rsid w:val="00C22FD9"/>
    <w:rsid w:val="00C232A6"/>
    <w:rsid w:val="00C2331E"/>
    <w:rsid w:val="00C234F8"/>
    <w:rsid w:val="00C23663"/>
    <w:rsid w:val="00C23729"/>
    <w:rsid w:val="00C23B67"/>
    <w:rsid w:val="00C23D4A"/>
    <w:rsid w:val="00C23ED9"/>
    <w:rsid w:val="00C24479"/>
    <w:rsid w:val="00C24568"/>
    <w:rsid w:val="00C247CC"/>
    <w:rsid w:val="00C249B4"/>
    <w:rsid w:val="00C24B9A"/>
    <w:rsid w:val="00C24C0D"/>
    <w:rsid w:val="00C24E32"/>
    <w:rsid w:val="00C24EE1"/>
    <w:rsid w:val="00C251BC"/>
    <w:rsid w:val="00C25401"/>
    <w:rsid w:val="00C25480"/>
    <w:rsid w:val="00C2559F"/>
    <w:rsid w:val="00C2569D"/>
    <w:rsid w:val="00C257E9"/>
    <w:rsid w:val="00C258CC"/>
    <w:rsid w:val="00C25971"/>
    <w:rsid w:val="00C25A21"/>
    <w:rsid w:val="00C25E7D"/>
    <w:rsid w:val="00C25F18"/>
    <w:rsid w:val="00C26200"/>
    <w:rsid w:val="00C2623D"/>
    <w:rsid w:val="00C263FE"/>
    <w:rsid w:val="00C26422"/>
    <w:rsid w:val="00C26458"/>
    <w:rsid w:val="00C266C8"/>
    <w:rsid w:val="00C266C9"/>
    <w:rsid w:val="00C267DA"/>
    <w:rsid w:val="00C26CD0"/>
    <w:rsid w:val="00C26F2D"/>
    <w:rsid w:val="00C270DB"/>
    <w:rsid w:val="00C27120"/>
    <w:rsid w:val="00C273EC"/>
    <w:rsid w:val="00C277CC"/>
    <w:rsid w:val="00C27E73"/>
    <w:rsid w:val="00C27EF4"/>
    <w:rsid w:val="00C3024F"/>
    <w:rsid w:val="00C30397"/>
    <w:rsid w:val="00C30570"/>
    <w:rsid w:val="00C30D11"/>
    <w:rsid w:val="00C30FBC"/>
    <w:rsid w:val="00C31168"/>
    <w:rsid w:val="00C312BB"/>
    <w:rsid w:val="00C3132C"/>
    <w:rsid w:val="00C313F9"/>
    <w:rsid w:val="00C316F1"/>
    <w:rsid w:val="00C31801"/>
    <w:rsid w:val="00C31A67"/>
    <w:rsid w:val="00C31CE9"/>
    <w:rsid w:val="00C31EBE"/>
    <w:rsid w:val="00C321F8"/>
    <w:rsid w:val="00C322E6"/>
    <w:rsid w:val="00C32A1B"/>
    <w:rsid w:val="00C32B73"/>
    <w:rsid w:val="00C32D77"/>
    <w:rsid w:val="00C334B4"/>
    <w:rsid w:val="00C341E1"/>
    <w:rsid w:val="00C34317"/>
    <w:rsid w:val="00C3445A"/>
    <w:rsid w:val="00C344CE"/>
    <w:rsid w:val="00C34520"/>
    <w:rsid w:val="00C34705"/>
    <w:rsid w:val="00C347AD"/>
    <w:rsid w:val="00C34C19"/>
    <w:rsid w:val="00C35315"/>
    <w:rsid w:val="00C3547E"/>
    <w:rsid w:val="00C35AA5"/>
    <w:rsid w:val="00C35B6C"/>
    <w:rsid w:val="00C35BE9"/>
    <w:rsid w:val="00C35C8A"/>
    <w:rsid w:val="00C35EDC"/>
    <w:rsid w:val="00C361EF"/>
    <w:rsid w:val="00C361FA"/>
    <w:rsid w:val="00C36309"/>
    <w:rsid w:val="00C363B6"/>
    <w:rsid w:val="00C3656F"/>
    <w:rsid w:val="00C36A59"/>
    <w:rsid w:val="00C371A3"/>
    <w:rsid w:val="00C37216"/>
    <w:rsid w:val="00C37922"/>
    <w:rsid w:val="00C37A1F"/>
    <w:rsid w:val="00C37E17"/>
    <w:rsid w:val="00C402A4"/>
    <w:rsid w:val="00C402F6"/>
    <w:rsid w:val="00C40792"/>
    <w:rsid w:val="00C40AD7"/>
    <w:rsid w:val="00C40FDA"/>
    <w:rsid w:val="00C41096"/>
    <w:rsid w:val="00C41309"/>
    <w:rsid w:val="00C417FF"/>
    <w:rsid w:val="00C41BD1"/>
    <w:rsid w:val="00C41E01"/>
    <w:rsid w:val="00C41F65"/>
    <w:rsid w:val="00C41F6B"/>
    <w:rsid w:val="00C4270A"/>
    <w:rsid w:val="00C42AA2"/>
    <w:rsid w:val="00C43184"/>
    <w:rsid w:val="00C432EB"/>
    <w:rsid w:val="00C433AA"/>
    <w:rsid w:val="00C43647"/>
    <w:rsid w:val="00C436C1"/>
    <w:rsid w:val="00C43B36"/>
    <w:rsid w:val="00C43D30"/>
    <w:rsid w:val="00C43D32"/>
    <w:rsid w:val="00C43DC3"/>
    <w:rsid w:val="00C4408D"/>
    <w:rsid w:val="00C44274"/>
    <w:rsid w:val="00C442DB"/>
    <w:rsid w:val="00C447E1"/>
    <w:rsid w:val="00C44BEA"/>
    <w:rsid w:val="00C4501A"/>
    <w:rsid w:val="00C45130"/>
    <w:rsid w:val="00C455BB"/>
    <w:rsid w:val="00C45ADC"/>
    <w:rsid w:val="00C45B88"/>
    <w:rsid w:val="00C45BC4"/>
    <w:rsid w:val="00C45CBE"/>
    <w:rsid w:val="00C45E93"/>
    <w:rsid w:val="00C4610D"/>
    <w:rsid w:val="00C462C0"/>
    <w:rsid w:val="00C46352"/>
    <w:rsid w:val="00C464EF"/>
    <w:rsid w:val="00C4682C"/>
    <w:rsid w:val="00C46A4E"/>
    <w:rsid w:val="00C47193"/>
    <w:rsid w:val="00C4727F"/>
    <w:rsid w:val="00C47322"/>
    <w:rsid w:val="00C4743B"/>
    <w:rsid w:val="00C477B8"/>
    <w:rsid w:val="00C47AD9"/>
    <w:rsid w:val="00C47B4A"/>
    <w:rsid w:val="00C47C85"/>
    <w:rsid w:val="00C47CD2"/>
    <w:rsid w:val="00C47CE2"/>
    <w:rsid w:val="00C47FC2"/>
    <w:rsid w:val="00C47FFA"/>
    <w:rsid w:val="00C500D3"/>
    <w:rsid w:val="00C50645"/>
    <w:rsid w:val="00C506BF"/>
    <w:rsid w:val="00C50D9C"/>
    <w:rsid w:val="00C50E70"/>
    <w:rsid w:val="00C50EDD"/>
    <w:rsid w:val="00C50F5C"/>
    <w:rsid w:val="00C50FEB"/>
    <w:rsid w:val="00C5119B"/>
    <w:rsid w:val="00C5128E"/>
    <w:rsid w:val="00C515A5"/>
    <w:rsid w:val="00C51626"/>
    <w:rsid w:val="00C517F1"/>
    <w:rsid w:val="00C51B02"/>
    <w:rsid w:val="00C5207D"/>
    <w:rsid w:val="00C5210C"/>
    <w:rsid w:val="00C52204"/>
    <w:rsid w:val="00C522D8"/>
    <w:rsid w:val="00C52477"/>
    <w:rsid w:val="00C528AE"/>
    <w:rsid w:val="00C52D96"/>
    <w:rsid w:val="00C532B0"/>
    <w:rsid w:val="00C532B7"/>
    <w:rsid w:val="00C53482"/>
    <w:rsid w:val="00C53860"/>
    <w:rsid w:val="00C5397D"/>
    <w:rsid w:val="00C53AC4"/>
    <w:rsid w:val="00C53E4A"/>
    <w:rsid w:val="00C5409E"/>
    <w:rsid w:val="00C5430E"/>
    <w:rsid w:val="00C547E3"/>
    <w:rsid w:val="00C54D89"/>
    <w:rsid w:val="00C55643"/>
    <w:rsid w:val="00C559CB"/>
    <w:rsid w:val="00C55CDA"/>
    <w:rsid w:val="00C56159"/>
    <w:rsid w:val="00C562CC"/>
    <w:rsid w:val="00C56486"/>
    <w:rsid w:val="00C56536"/>
    <w:rsid w:val="00C5663A"/>
    <w:rsid w:val="00C5679E"/>
    <w:rsid w:val="00C56B81"/>
    <w:rsid w:val="00C56C00"/>
    <w:rsid w:val="00C56C67"/>
    <w:rsid w:val="00C56D83"/>
    <w:rsid w:val="00C56E5A"/>
    <w:rsid w:val="00C571D0"/>
    <w:rsid w:val="00C579C4"/>
    <w:rsid w:val="00C579FC"/>
    <w:rsid w:val="00C57FEE"/>
    <w:rsid w:val="00C604C7"/>
    <w:rsid w:val="00C605C5"/>
    <w:rsid w:val="00C60EA5"/>
    <w:rsid w:val="00C61AD8"/>
    <w:rsid w:val="00C61ECA"/>
    <w:rsid w:val="00C620F8"/>
    <w:rsid w:val="00C62242"/>
    <w:rsid w:val="00C6234D"/>
    <w:rsid w:val="00C6273C"/>
    <w:rsid w:val="00C62784"/>
    <w:rsid w:val="00C62E4E"/>
    <w:rsid w:val="00C62FFC"/>
    <w:rsid w:val="00C63065"/>
    <w:rsid w:val="00C630D4"/>
    <w:rsid w:val="00C63D19"/>
    <w:rsid w:val="00C6405C"/>
    <w:rsid w:val="00C644CB"/>
    <w:rsid w:val="00C646A8"/>
    <w:rsid w:val="00C648F0"/>
    <w:rsid w:val="00C64933"/>
    <w:rsid w:val="00C64E6D"/>
    <w:rsid w:val="00C64EDC"/>
    <w:rsid w:val="00C64FF3"/>
    <w:rsid w:val="00C653D2"/>
    <w:rsid w:val="00C65479"/>
    <w:rsid w:val="00C65605"/>
    <w:rsid w:val="00C65659"/>
    <w:rsid w:val="00C656FC"/>
    <w:rsid w:val="00C65CF1"/>
    <w:rsid w:val="00C65D9D"/>
    <w:rsid w:val="00C65DD5"/>
    <w:rsid w:val="00C66054"/>
    <w:rsid w:val="00C660D4"/>
    <w:rsid w:val="00C66286"/>
    <w:rsid w:val="00C66478"/>
    <w:rsid w:val="00C66637"/>
    <w:rsid w:val="00C66655"/>
    <w:rsid w:val="00C668A2"/>
    <w:rsid w:val="00C66CAB"/>
    <w:rsid w:val="00C67275"/>
    <w:rsid w:val="00C672F5"/>
    <w:rsid w:val="00C67391"/>
    <w:rsid w:val="00C67406"/>
    <w:rsid w:val="00C67642"/>
    <w:rsid w:val="00C67806"/>
    <w:rsid w:val="00C678F5"/>
    <w:rsid w:val="00C67FEF"/>
    <w:rsid w:val="00C70026"/>
    <w:rsid w:val="00C70223"/>
    <w:rsid w:val="00C70276"/>
    <w:rsid w:val="00C70532"/>
    <w:rsid w:val="00C708A5"/>
    <w:rsid w:val="00C70919"/>
    <w:rsid w:val="00C70994"/>
    <w:rsid w:val="00C709A5"/>
    <w:rsid w:val="00C70BBB"/>
    <w:rsid w:val="00C70E4D"/>
    <w:rsid w:val="00C70F2E"/>
    <w:rsid w:val="00C70F3A"/>
    <w:rsid w:val="00C714FD"/>
    <w:rsid w:val="00C71531"/>
    <w:rsid w:val="00C71634"/>
    <w:rsid w:val="00C720B0"/>
    <w:rsid w:val="00C7221A"/>
    <w:rsid w:val="00C72346"/>
    <w:rsid w:val="00C7298B"/>
    <w:rsid w:val="00C729F8"/>
    <w:rsid w:val="00C72CBA"/>
    <w:rsid w:val="00C72DF6"/>
    <w:rsid w:val="00C72F39"/>
    <w:rsid w:val="00C73054"/>
    <w:rsid w:val="00C731D4"/>
    <w:rsid w:val="00C731D8"/>
    <w:rsid w:val="00C736D4"/>
    <w:rsid w:val="00C73B19"/>
    <w:rsid w:val="00C73D7F"/>
    <w:rsid w:val="00C73E12"/>
    <w:rsid w:val="00C7417D"/>
    <w:rsid w:val="00C742A4"/>
    <w:rsid w:val="00C74C13"/>
    <w:rsid w:val="00C74CDD"/>
    <w:rsid w:val="00C74E00"/>
    <w:rsid w:val="00C74ECB"/>
    <w:rsid w:val="00C752BD"/>
    <w:rsid w:val="00C753C4"/>
    <w:rsid w:val="00C75817"/>
    <w:rsid w:val="00C75BBA"/>
    <w:rsid w:val="00C75D16"/>
    <w:rsid w:val="00C75D57"/>
    <w:rsid w:val="00C760FD"/>
    <w:rsid w:val="00C76235"/>
    <w:rsid w:val="00C764FB"/>
    <w:rsid w:val="00C766BD"/>
    <w:rsid w:val="00C76760"/>
    <w:rsid w:val="00C76810"/>
    <w:rsid w:val="00C76C1D"/>
    <w:rsid w:val="00C76D65"/>
    <w:rsid w:val="00C76E3A"/>
    <w:rsid w:val="00C76FCD"/>
    <w:rsid w:val="00C7737F"/>
    <w:rsid w:val="00C7743C"/>
    <w:rsid w:val="00C77660"/>
    <w:rsid w:val="00C77A91"/>
    <w:rsid w:val="00C77BDC"/>
    <w:rsid w:val="00C77DEE"/>
    <w:rsid w:val="00C77F41"/>
    <w:rsid w:val="00C77FFA"/>
    <w:rsid w:val="00C8051C"/>
    <w:rsid w:val="00C8078B"/>
    <w:rsid w:val="00C80B58"/>
    <w:rsid w:val="00C80CDD"/>
    <w:rsid w:val="00C80E6E"/>
    <w:rsid w:val="00C80E86"/>
    <w:rsid w:val="00C8110C"/>
    <w:rsid w:val="00C8111B"/>
    <w:rsid w:val="00C812C8"/>
    <w:rsid w:val="00C812EA"/>
    <w:rsid w:val="00C81328"/>
    <w:rsid w:val="00C81A02"/>
    <w:rsid w:val="00C81EA6"/>
    <w:rsid w:val="00C81F15"/>
    <w:rsid w:val="00C82400"/>
    <w:rsid w:val="00C8249D"/>
    <w:rsid w:val="00C824D1"/>
    <w:rsid w:val="00C82579"/>
    <w:rsid w:val="00C825FE"/>
    <w:rsid w:val="00C82861"/>
    <w:rsid w:val="00C82B8F"/>
    <w:rsid w:val="00C82E4D"/>
    <w:rsid w:val="00C83075"/>
    <w:rsid w:val="00C835EC"/>
    <w:rsid w:val="00C83A46"/>
    <w:rsid w:val="00C83A92"/>
    <w:rsid w:val="00C83EDB"/>
    <w:rsid w:val="00C83EEA"/>
    <w:rsid w:val="00C841B7"/>
    <w:rsid w:val="00C8431A"/>
    <w:rsid w:val="00C843BF"/>
    <w:rsid w:val="00C844A0"/>
    <w:rsid w:val="00C846E9"/>
    <w:rsid w:val="00C8489A"/>
    <w:rsid w:val="00C84E03"/>
    <w:rsid w:val="00C850A7"/>
    <w:rsid w:val="00C851A3"/>
    <w:rsid w:val="00C85296"/>
    <w:rsid w:val="00C852C0"/>
    <w:rsid w:val="00C8570A"/>
    <w:rsid w:val="00C85A68"/>
    <w:rsid w:val="00C85CCE"/>
    <w:rsid w:val="00C85DB3"/>
    <w:rsid w:val="00C85DCF"/>
    <w:rsid w:val="00C8648C"/>
    <w:rsid w:val="00C864FC"/>
    <w:rsid w:val="00C86708"/>
    <w:rsid w:val="00C86A02"/>
    <w:rsid w:val="00C86D69"/>
    <w:rsid w:val="00C86DD7"/>
    <w:rsid w:val="00C86EDD"/>
    <w:rsid w:val="00C86EEE"/>
    <w:rsid w:val="00C86F59"/>
    <w:rsid w:val="00C870E0"/>
    <w:rsid w:val="00C871FC"/>
    <w:rsid w:val="00C8724A"/>
    <w:rsid w:val="00C87608"/>
    <w:rsid w:val="00C8773D"/>
    <w:rsid w:val="00C87A32"/>
    <w:rsid w:val="00C87B64"/>
    <w:rsid w:val="00C903DF"/>
    <w:rsid w:val="00C90429"/>
    <w:rsid w:val="00C908F9"/>
    <w:rsid w:val="00C9099E"/>
    <w:rsid w:val="00C909B9"/>
    <w:rsid w:val="00C90C8D"/>
    <w:rsid w:val="00C90CFB"/>
    <w:rsid w:val="00C90E70"/>
    <w:rsid w:val="00C90F54"/>
    <w:rsid w:val="00C90FCC"/>
    <w:rsid w:val="00C91143"/>
    <w:rsid w:val="00C911CC"/>
    <w:rsid w:val="00C912E6"/>
    <w:rsid w:val="00C91391"/>
    <w:rsid w:val="00C91745"/>
    <w:rsid w:val="00C91806"/>
    <w:rsid w:val="00C91BAD"/>
    <w:rsid w:val="00C91C98"/>
    <w:rsid w:val="00C91D72"/>
    <w:rsid w:val="00C91F91"/>
    <w:rsid w:val="00C921C6"/>
    <w:rsid w:val="00C92362"/>
    <w:rsid w:val="00C92B6E"/>
    <w:rsid w:val="00C92B76"/>
    <w:rsid w:val="00C92E33"/>
    <w:rsid w:val="00C92FBC"/>
    <w:rsid w:val="00C93084"/>
    <w:rsid w:val="00C93410"/>
    <w:rsid w:val="00C935BC"/>
    <w:rsid w:val="00C93657"/>
    <w:rsid w:val="00C93788"/>
    <w:rsid w:val="00C93FBE"/>
    <w:rsid w:val="00C94031"/>
    <w:rsid w:val="00C94255"/>
    <w:rsid w:val="00C943A6"/>
    <w:rsid w:val="00C9474D"/>
    <w:rsid w:val="00C947DA"/>
    <w:rsid w:val="00C94831"/>
    <w:rsid w:val="00C94B5C"/>
    <w:rsid w:val="00C94EFB"/>
    <w:rsid w:val="00C94F5E"/>
    <w:rsid w:val="00C952BE"/>
    <w:rsid w:val="00C959BE"/>
    <w:rsid w:val="00C95B62"/>
    <w:rsid w:val="00C95BEB"/>
    <w:rsid w:val="00C95C53"/>
    <w:rsid w:val="00C95FAB"/>
    <w:rsid w:val="00C96008"/>
    <w:rsid w:val="00C96541"/>
    <w:rsid w:val="00C96564"/>
    <w:rsid w:val="00C96818"/>
    <w:rsid w:val="00C96C2C"/>
    <w:rsid w:val="00C96D48"/>
    <w:rsid w:val="00C96DCE"/>
    <w:rsid w:val="00C96FDD"/>
    <w:rsid w:val="00C9701A"/>
    <w:rsid w:val="00C9725E"/>
    <w:rsid w:val="00C972D9"/>
    <w:rsid w:val="00C97566"/>
    <w:rsid w:val="00C9772C"/>
    <w:rsid w:val="00C979F6"/>
    <w:rsid w:val="00C97AA1"/>
    <w:rsid w:val="00C97E71"/>
    <w:rsid w:val="00C97F14"/>
    <w:rsid w:val="00CA0113"/>
    <w:rsid w:val="00CA017B"/>
    <w:rsid w:val="00CA019B"/>
    <w:rsid w:val="00CA02BB"/>
    <w:rsid w:val="00CA02FB"/>
    <w:rsid w:val="00CA055A"/>
    <w:rsid w:val="00CA095B"/>
    <w:rsid w:val="00CA0B7E"/>
    <w:rsid w:val="00CA0B9E"/>
    <w:rsid w:val="00CA0E6B"/>
    <w:rsid w:val="00CA0E9F"/>
    <w:rsid w:val="00CA129B"/>
    <w:rsid w:val="00CA1855"/>
    <w:rsid w:val="00CA1860"/>
    <w:rsid w:val="00CA1AEB"/>
    <w:rsid w:val="00CA1D1F"/>
    <w:rsid w:val="00CA1DBD"/>
    <w:rsid w:val="00CA209A"/>
    <w:rsid w:val="00CA252A"/>
    <w:rsid w:val="00CA26A9"/>
    <w:rsid w:val="00CA26F7"/>
    <w:rsid w:val="00CA29C4"/>
    <w:rsid w:val="00CA2C23"/>
    <w:rsid w:val="00CA2D36"/>
    <w:rsid w:val="00CA2D69"/>
    <w:rsid w:val="00CA2F85"/>
    <w:rsid w:val="00CA3111"/>
    <w:rsid w:val="00CA31E8"/>
    <w:rsid w:val="00CA32F2"/>
    <w:rsid w:val="00CA3445"/>
    <w:rsid w:val="00CA369E"/>
    <w:rsid w:val="00CA3B04"/>
    <w:rsid w:val="00CA3FC5"/>
    <w:rsid w:val="00CA4273"/>
    <w:rsid w:val="00CA4CC7"/>
    <w:rsid w:val="00CA50C1"/>
    <w:rsid w:val="00CA521C"/>
    <w:rsid w:val="00CA5709"/>
    <w:rsid w:val="00CA5BA2"/>
    <w:rsid w:val="00CA5C30"/>
    <w:rsid w:val="00CA5E3A"/>
    <w:rsid w:val="00CA5EC6"/>
    <w:rsid w:val="00CA5F38"/>
    <w:rsid w:val="00CA5FB5"/>
    <w:rsid w:val="00CA6193"/>
    <w:rsid w:val="00CA638D"/>
    <w:rsid w:val="00CA6587"/>
    <w:rsid w:val="00CA65A6"/>
    <w:rsid w:val="00CA6863"/>
    <w:rsid w:val="00CA6877"/>
    <w:rsid w:val="00CA7141"/>
    <w:rsid w:val="00CA74F8"/>
    <w:rsid w:val="00CA7CFC"/>
    <w:rsid w:val="00CA7D11"/>
    <w:rsid w:val="00CB00F6"/>
    <w:rsid w:val="00CB080F"/>
    <w:rsid w:val="00CB08F3"/>
    <w:rsid w:val="00CB0ABA"/>
    <w:rsid w:val="00CB0AE7"/>
    <w:rsid w:val="00CB0D0D"/>
    <w:rsid w:val="00CB1157"/>
    <w:rsid w:val="00CB1230"/>
    <w:rsid w:val="00CB12DA"/>
    <w:rsid w:val="00CB145B"/>
    <w:rsid w:val="00CB1578"/>
    <w:rsid w:val="00CB1AB1"/>
    <w:rsid w:val="00CB1C95"/>
    <w:rsid w:val="00CB1DCC"/>
    <w:rsid w:val="00CB1F03"/>
    <w:rsid w:val="00CB1F49"/>
    <w:rsid w:val="00CB1FAD"/>
    <w:rsid w:val="00CB227B"/>
    <w:rsid w:val="00CB233F"/>
    <w:rsid w:val="00CB2C17"/>
    <w:rsid w:val="00CB2C8A"/>
    <w:rsid w:val="00CB2D14"/>
    <w:rsid w:val="00CB2FE7"/>
    <w:rsid w:val="00CB315C"/>
    <w:rsid w:val="00CB31B9"/>
    <w:rsid w:val="00CB3201"/>
    <w:rsid w:val="00CB339E"/>
    <w:rsid w:val="00CB3400"/>
    <w:rsid w:val="00CB39F2"/>
    <w:rsid w:val="00CB3BE5"/>
    <w:rsid w:val="00CB3C85"/>
    <w:rsid w:val="00CB4028"/>
    <w:rsid w:val="00CB445C"/>
    <w:rsid w:val="00CB4649"/>
    <w:rsid w:val="00CB4918"/>
    <w:rsid w:val="00CB4977"/>
    <w:rsid w:val="00CB49ED"/>
    <w:rsid w:val="00CB4A72"/>
    <w:rsid w:val="00CB5096"/>
    <w:rsid w:val="00CB570C"/>
    <w:rsid w:val="00CB58CD"/>
    <w:rsid w:val="00CB5918"/>
    <w:rsid w:val="00CB59F7"/>
    <w:rsid w:val="00CB5D89"/>
    <w:rsid w:val="00CB5ED8"/>
    <w:rsid w:val="00CB602D"/>
    <w:rsid w:val="00CB60D1"/>
    <w:rsid w:val="00CB6324"/>
    <w:rsid w:val="00CB64AF"/>
    <w:rsid w:val="00CB672F"/>
    <w:rsid w:val="00CB6734"/>
    <w:rsid w:val="00CB6A6F"/>
    <w:rsid w:val="00CB6C0A"/>
    <w:rsid w:val="00CB71B2"/>
    <w:rsid w:val="00CB758D"/>
    <w:rsid w:val="00CB779A"/>
    <w:rsid w:val="00CB7B16"/>
    <w:rsid w:val="00CB7C68"/>
    <w:rsid w:val="00CB7D8F"/>
    <w:rsid w:val="00CB7ED8"/>
    <w:rsid w:val="00CC00DD"/>
    <w:rsid w:val="00CC018A"/>
    <w:rsid w:val="00CC067F"/>
    <w:rsid w:val="00CC08B0"/>
    <w:rsid w:val="00CC0DEC"/>
    <w:rsid w:val="00CC0EEB"/>
    <w:rsid w:val="00CC1679"/>
    <w:rsid w:val="00CC1681"/>
    <w:rsid w:val="00CC17D5"/>
    <w:rsid w:val="00CC185D"/>
    <w:rsid w:val="00CC1B2C"/>
    <w:rsid w:val="00CC1BFD"/>
    <w:rsid w:val="00CC1D3D"/>
    <w:rsid w:val="00CC1F4D"/>
    <w:rsid w:val="00CC201D"/>
    <w:rsid w:val="00CC2418"/>
    <w:rsid w:val="00CC24FB"/>
    <w:rsid w:val="00CC26ED"/>
    <w:rsid w:val="00CC2759"/>
    <w:rsid w:val="00CC2F0B"/>
    <w:rsid w:val="00CC2F61"/>
    <w:rsid w:val="00CC336D"/>
    <w:rsid w:val="00CC3473"/>
    <w:rsid w:val="00CC3607"/>
    <w:rsid w:val="00CC377E"/>
    <w:rsid w:val="00CC3891"/>
    <w:rsid w:val="00CC38CD"/>
    <w:rsid w:val="00CC3A91"/>
    <w:rsid w:val="00CC4339"/>
    <w:rsid w:val="00CC4459"/>
    <w:rsid w:val="00CC44CA"/>
    <w:rsid w:val="00CC450D"/>
    <w:rsid w:val="00CC49F0"/>
    <w:rsid w:val="00CC4C8D"/>
    <w:rsid w:val="00CC4D81"/>
    <w:rsid w:val="00CC4D91"/>
    <w:rsid w:val="00CC4E77"/>
    <w:rsid w:val="00CC5000"/>
    <w:rsid w:val="00CC5636"/>
    <w:rsid w:val="00CC5C57"/>
    <w:rsid w:val="00CC5FEB"/>
    <w:rsid w:val="00CC613B"/>
    <w:rsid w:val="00CC64D8"/>
    <w:rsid w:val="00CC6503"/>
    <w:rsid w:val="00CC66E1"/>
    <w:rsid w:val="00CC6858"/>
    <w:rsid w:val="00CC6AE1"/>
    <w:rsid w:val="00CC6CA4"/>
    <w:rsid w:val="00CC6D33"/>
    <w:rsid w:val="00CC6F83"/>
    <w:rsid w:val="00CC70C9"/>
    <w:rsid w:val="00CC7136"/>
    <w:rsid w:val="00CC7225"/>
    <w:rsid w:val="00CC7405"/>
    <w:rsid w:val="00CC7639"/>
    <w:rsid w:val="00CC77FA"/>
    <w:rsid w:val="00CC7848"/>
    <w:rsid w:val="00CD04F4"/>
    <w:rsid w:val="00CD09D2"/>
    <w:rsid w:val="00CD0ACF"/>
    <w:rsid w:val="00CD0BA2"/>
    <w:rsid w:val="00CD0C6C"/>
    <w:rsid w:val="00CD0E40"/>
    <w:rsid w:val="00CD124A"/>
    <w:rsid w:val="00CD146C"/>
    <w:rsid w:val="00CD1897"/>
    <w:rsid w:val="00CD1919"/>
    <w:rsid w:val="00CD1DAD"/>
    <w:rsid w:val="00CD1FDF"/>
    <w:rsid w:val="00CD22A4"/>
    <w:rsid w:val="00CD2317"/>
    <w:rsid w:val="00CD232D"/>
    <w:rsid w:val="00CD2344"/>
    <w:rsid w:val="00CD2730"/>
    <w:rsid w:val="00CD2851"/>
    <w:rsid w:val="00CD2C15"/>
    <w:rsid w:val="00CD2DA7"/>
    <w:rsid w:val="00CD34E0"/>
    <w:rsid w:val="00CD3BDF"/>
    <w:rsid w:val="00CD3EE1"/>
    <w:rsid w:val="00CD41A1"/>
    <w:rsid w:val="00CD41CA"/>
    <w:rsid w:val="00CD41FC"/>
    <w:rsid w:val="00CD420A"/>
    <w:rsid w:val="00CD4238"/>
    <w:rsid w:val="00CD427D"/>
    <w:rsid w:val="00CD4306"/>
    <w:rsid w:val="00CD4456"/>
    <w:rsid w:val="00CD44F7"/>
    <w:rsid w:val="00CD4545"/>
    <w:rsid w:val="00CD45DB"/>
    <w:rsid w:val="00CD4711"/>
    <w:rsid w:val="00CD4D15"/>
    <w:rsid w:val="00CD4E4F"/>
    <w:rsid w:val="00CD555C"/>
    <w:rsid w:val="00CD5659"/>
    <w:rsid w:val="00CD568D"/>
    <w:rsid w:val="00CD56B1"/>
    <w:rsid w:val="00CD58B5"/>
    <w:rsid w:val="00CD5C6B"/>
    <w:rsid w:val="00CD6040"/>
    <w:rsid w:val="00CD60EA"/>
    <w:rsid w:val="00CD615C"/>
    <w:rsid w:val="00CD621A"/>
    <w:rsid w:val="00CD68D1"/>
    <w:rsid w:val="00CD69C2"/>
    <w:rsid w:val="00CD69EC"/>
    <w:rsid w:val="00CD6AC9"/>
    <w:rsid w:val="00CD6E08"/>
    <w:rsid w:val="00CD6E60"/>
    <w:rsid w:val="00CD7098"/>
    <w:rsid w:val="00CD7113"/>
    <w:rsid w:val="00CD7261"/>
    <w:rsid w:val="00CD77AC"/>
    <w:rsid w:val="00CD7C8A"/>
    <w:rsid w:val="00CE01F4"/>
    <w:rsid w:val="00CE03BD"/>
    <w:rsid w:val="00CE0965"/>
    <w:rsid w:val="00CE0B1E"/>
    <w:rsid w:val="00CE0C4A"/>
    <w:rsid w:val="00CE1162"/>
    <w:rsid w:val="00CE194F"/>
    <w:rsid w:val="00CE1E1B"/>
    <w:rsid w:val="00CE20D5"/>
    <w:rsid w:val="00CE2394"/>
    <w:rsid w:val="00CE2500"/>
    <w:rsid w:val="00CE2505"/>
    <w:rsid w:val="00CE2672"/>
    <w:rsid w:val="00CE2965"/>
    <w:rsid w:val="00CE2CBD"/>
    <w:rsid w:val="00CE2F5B"/>
    <w:rsid w:val="00CE33C8"/>
    <w:rsid w:val="00CE33E5"/>
    <w:rsid w:val="00CE35BC"/>
    <w:rsid w:val="00CE361C"/>
    <w:rsid w:val="00CE3ED0"/>
    <w:rsid w:val="00CE446E"/>
    <w:rsid w:val="00CE44D8"/>
    <w:rsid w:val="00CE45B1"/>
    <w:rsid w:val="00CE46FA"/>
    <w:rsid w:val="00CE473E"/>
    <w:rsid w:val="00CE47D2"/>
    <w:rsid w:val="00CE4934"/>
    <w:rsid w:val="00CE4C56"/>
    <w:rsid w:val="00CE4FCA"/>
    <w:rsid w:val="00CE50BA"/>
    <w:rsid w:val="00CE52DE"/>
    <w:rsid w:val="00CE54F1"/>
    <w:rsid w:val="00CE56A4"/>
    <w:rsid w:val="00CE5837"/>
    <w:rsid w:val="00CE5A83"/>
    <w:rsid w:val="00CE5A8B"/>
    <w:rsid w:val="00CE5F07"/>
    <w:rsid w:val="00CE605C"/>
    <w:rsid w:val="00CE61FC"/>
    <w:rsid w:val="00CE63AB"/>
    <w:rsid w:val="00CE65EC"/>
    <w:rsid w:val="00CE688A"/>
    <w:rsid w:val="00CE69C3"/>
    <w:rsid w:val="00CE6C7E"/>
    <w:rsid w:val="00CE6E0D"/>
    <w:rsid w:val="00CE6E0F"/>
    <w:rsid w:val="00CE6E3B"/>
    <w:rsid w:val="00CE6EA5"/>
    <w:rsid w:val="00CE711D"/>
    <w:rsid w:val="00CE76D6"/>
    <w:rsid w:val="00CE7877"/>
    <w:rsid w:val="00CE7B0B"/>
    <w:rsid w:val="00CE7BB1"/>
    <w:rsid w:val="00CE7E71"/>
    <w:rsid w:val="00CE7F1D"/>
    <w:rsid w:val="00CE7F5A"/>
    <w:rsid w:val="00CF039E"/>
    <w:rsid w:val="00CF064C"/>
    <w:rsid w:val="00CF0AC5"/>
    <w:rsid w:val="00CF0BA2"/>
    <w:rsid w:val="00CF10D1"/>
    <w:rsid w:val="00CF1232"/>
    <w:rsid w:val="00CF1287"/>
    <w:rsid w:val="00CF17CC"/>
    <w:rsid w:val="00CF194C"/>
    <w:rsid w:val="00CF1F9A"/>
    <w:rsid w:val="00CF20D4"/>
    <w:rsid w:val="00CF22C9"/>
    <w:rsid w:val="00CF2706"/>
    <w:rsid w:val="00CF27EC"/>
    <w:rsid w:val="00CF28A0"/>
    <w:rsid w:val="00CF2A05"/>
    <w:rsid w:val="00CF2CFA"/>
    <w:rsid w:val="00CF2EA8"/>
    <w:rsid w:val="00CF3553"/>
    <w:rsid w:val="00CF3AA9"/>
    <w:rsid w:val="00CF3E84"/>
    <w:rsid w:val="00CF3ECE"/>
    <w:rsid w:val="00CF3FB8"/>
    <w:rsid w:val="00CF4017"/>
    <w:rsid w:val="00CF408E"/>
    <w:rsid w:val="00CF41CB"/>
    <w:rsid w:val="00CF45B5"/>
    <w:rsid w:val="00CF499E"/>
    <w:rsid w:val="00CF4AA4"/>
    <w:rsid w:val="00CF4D5F"/>
    <w:rsid w:val="00CF4DA7"/>
    <w:rsid w:val="00CF4E85"/>
    <w:rsid w:val="00CF4F5B"/>
    <w:rsid w:val="00CF5101"/>
    <w:rsid w:val="00CF5878"/>
    <w:rsid w:val="00CF58DD"/>
    <w:rsid w:val="00CF5B20"/>
    <w:rsid w:val="00CF63B6"/>
    <w:rsid w:val="00CF6514"/>
    <w:rsid w:val="00CF6D1B"/>
    <w:rsid w:val="00CF6F24"/>
    <w:rsid w:val="00CF71EC"/>
    <w:rsid w:val="00CF7241"/>
    <w:rsid w:val="00CF74A7"/>
    <w:rsid w:val="00CF7683"/>
    <w:rsid w:val="00CF7B7F"/>
    <w:rsid w:val="00CF7CD5"/>
    <w:rsid w:val="00D0006B"/>
    <w:rsid w:val="00D00106"/>
    <w:rsid w:val="00D0040C"/>
    <w:rsid w:val="00D00468"/>
    <w:rsid w:val="00D00624"/>
    <w:rsid w:val="00D008A7"/>
    <w:rsid w:val="00D009D3"/>
    <w:rsid w:val="00D00B81"/>
    <w:rsid w:val="00D00F70"/>
    <w:rsid w:val="00D01305"/>
    <w:rsid w:val="00D01342"/>
    <w:rsid w:val="00D015AC"/>
    <w:rsid w:val="00D0173C"/>
    <w:rsid w:val="00D0181A"/>
    <w:rsid w:val="00D01F31"/>
    <w:rsid w:val="00D020C2"/>
    <w:rsid w:val="00D020EC"/>
    <w:rsid w:val="00D021F4"/>
    <w:rsid w:val="00D022FF"/>
    <w:rsid w:val="00D024C7"/>
    <w:rsid w:val="00D02727"/>
    <w:rsid w:val="00D029A6"/>
    <w:rsid w:val="00D029D3"/>
    <w:rsid w:val="00D02A1B"/>
    <w:rsid w:val="00D02A4A"/>
    <w:rsid w:val="00D02D4F"/>
    <w:rsid w:val="00D02EB3"/>
    <w:rsid w:val="00D03544"/>
    <w:rsid w:val="00D03871"/>
    <w:rsid w:val="00D038BD"/>
    <w:rsid w:val="00D03AF0"/>
    <w:rsid w:val="00D03C86"/>
    <w:rsid w:val="00D03FCB"/>
    <w:rsid w:val="00D0454B"/>
    <w:rsid w:val="00D05157"/>
    <w:rsid w:val="00D0542E"/>
    <w:rsid w:val="00D054FD"/>
    <w:rsid w:val="00D05568"/>
    <w:rsid w:val="00D05573"/>
    <w:rsid w:val="00D055F3"/>
    <w:rsid w:val="00D05A85"/>
    <w:rsid w:val="00D05B11"/>
    <w:rsid w:val="00D05B1E"/>
    <w:rsid w:val="00D05B59"/>
    <w:rsid w:val="00D05CBC"/>
    <w:rsid w:val="00D0617B"/>
    <w:rsid w:val="00D06195"/>
    <w:rsid w:val="00D061AA"/>
    <w:rsid w:val="00D061DD"/>
    <w:rsid w:val="00D062B2"/>
    <w:rsid w:val="00D06432"/>
    <w:rsid w:val="00D06499"/>
    <w:rsid w:val="00D06A80"/>
    <w:rsid w:val="00D06D7A"/>
    <w:rsid w:val="00D06DA1"/>
    <w:rsid w:val="00D07183"/>
    <w:rsid w:val="00D0731E"/>
    <w:rsid w:val="00D07448"/>
    <w:rsid w:val="00D07450"/>
    <w:rsid w:val="00D07945"/>
    <w:rsid w:val="00D07B21"/>
    <w:rsid w:val="00D07BE9"/>
    <w:rsid w:val="00D07E2C"/>
    <w:rsid w:val="00D07F90"/>
    <w:rsid w:val="00D10092"/>
    <w:rsid w:val="00D101D7"/>
    <w:rsid w:val="00D10573"/>
    <w:rsid w:val="00D10742"/>
    <w:rsid w:val="00D10852"/>
    <w:rsid w:val="00D10DE7"/>
    <w:rsid w:val="00D119F7"/>
    <w:rsid w:val="00D11CEA"/>
    <w:rsid w:val="00D11CFE"/>
    <w:rsid w:val="00D1234A"/>
    <w:rsid w:val="00D126F3"/>
    <w:rsid w:val="00D1279E"/>
    <w:rsid w:val="00D1281C"/>
    <w:rsid w:val="00D12A0C"/>
    <w:rsid w:val="00D12A0D"/>
    <w:rsid w:val="00D130D2"/>
    <w:rsid w:val="00D1372A"/>
    <w:rsid w:val="00D138DE"/>
    <w:rsid w:val="00D13BCB"/>
    <w:rsid w:val="00D13DC8"/>
    <w:rsid w:val="00D13E74"/>
    <w:rsid w:val="00D13EB1"/>
    <w:rsid w:val="00D1406D"/>
    <w:rsid w:val="00D1422A"/>
    <w:rsid w:val="00D142B5"/>
    <w:rsid w:val="00D14599"/>
    <w:rsid w:val="00D146D5"/>
    <w:rsid w:val="00D1477A"/>
    <w:rsid w:val="00D1484E"/>
    <w:rsid w:val="00D148DC"/>
    <w:rsid w:val="00D14E1F"/>
    <w:rsid w:val="00D150E1"/>
    <w:rsid w:val="00D150FB"/>
    <w:rsid w:val="00D15163"/>
    <w:rsid w:val="00D151EF"/>
    <w:rsid w:val="00D15214"/>
    <w:rsid w:val="00D1538A"/>
    <w:rsid w:val="00D1538C"/>
    <w:rsid w:val="00D15399"/>
    <w:rsid w:val="00D153DF"/>
    <w:rsid w:val="00D15557"/>
    <w:rsid w:val="00D15A0A"/>
    <w:rsid w:val="00D15DC3"/>
    <w:rsid w:val="00D15F48"/>
    <w:rsid w:val="00D162E1"/>
    <w:rsid w:val="00D16601"/>
    <w:rsid w:val="00D16815"/>
    <w:rsid w:val="00D16879"/>
    <w:rsid w:val="00D16E49"/>
    <w:rsid w:val="00D170AE"/>
    <w:rsid w:val="00D172F1"/>
    <w:rsid w:val="00D175A5"/>
    <w:rsid w:val="00D176BE"/>
    <w:rsid w:val="00D17CA0"/>
    <w:rsid w:val="00D20105"/>
    <w:rsid w:val="00D20511"/>
    <w:rsid w:val="00D2056C"/>
    <w:rsid w:val="00D207C1"/>
    <w:rsid w:val="00D20B05"/>
    <w:rsid w:val="00D20D38"/>
    <w:rsid w:val="00D20F9F"/>
    <w:rsid w:val="00D212F1"/>
    <w:rsid w:val="00D217AA"/>
    <w:rsid w:val="00D21889"/>
    <w:rsid w:val="00D22306"/>
    <w:rsid w:val="00D2234B"/>
    <w:rsid w:val="00D223A4"/>
    <w:rsid w:val="00D2252B"/>
    <w:rsid w:val="00D22566"/>
    <w:rsid w:val="00D225DB"/>
    <w:rsid w:val="00D22A0F"/>
    <w:rsid w:val="00D22AEC"/>
    <w:rsid w:val="00D23044"/>
    <w:rsid w:val="00D23074"/>
    <w:rsid w:val="00D234BC"/>
    <w:rsid w:val="00D23798"/>
    <w:rsid w:val="00D2392E"/>
    <w:rsid w:val="00D239E9"/>
    <w:rsid w:val="00D23AA9"/>
    <w:rsid w:val="00D23B56"/>
    <w:rsid w:val="00D23DC3"/>
    <w:rsid w:val="00D23E3A"/>
    <w:rsid w:val="00D2425F"/>
    <w:rsid w:val="00D2479D"/>
    <w:rsid w:val="00D24A67"/>
    <w:rsid w:val="00D24C6B"/>
    <w:rsid w:val="00D24FF0"/>
    <w:rsid w:val="00D25006"/>
    <w:rsid w:val="00D255BC"/>
    <w:rsid w:val="00D25696"/>
    <w:rsid w:val="00D2583C"/>
    <w:rsid w:val="00D258A1"/>
    <w:rsid w:val="00D259D2"/>
    <w:rsid w:val="00D25CDB"/>
    <w:rsid w:val="00D25DE7"/>
    <w:rsid w:val="00D25FA9"/>
    <w:rsid w:val="00D26019"/>
    <w:rsid w:val="00D26097"/>
    <w:rsid w:val="00D26115"/>
    <w:rsid w:val="00D2612D"/>
    <w:rsid w:val="00D26401"/>
    <w:rsid w:val="00D264B0"/>
    <w:rsid w:val="00D26509"/>
    <w:rsid w:val="00D26611"/>
    <w:rsid w:val="00D26643"/>
    <w:rsid w:val="00D26ED6"/>
    <w:rsid w:val="00D2733E"/>
    <w:rsid w:val="00D2755A"/>
    <w:rsid w:val="00D2782C"/>
    <w:rsid w:val="00D27CD1"/>
    <w:rsid w:val="00D27DD4"/>
    <w:rsid w:val="00D27E61"/>
    <w:rsid w:val="00D27FA5"/>
    <w:rsid w:val="00D300CB"/>
    <w:rsid w:val="00D3040E"/>
    <w:rsid w:val="00D305B0"/>
    <w:rsid w:val="00D305D5"/>
    <w:rsid w:val="00D305E0"/>
    <w:rsid w:val="00D306F6"/>
    <w:rsid w:val="00D307DA"/>
    <w:rsid w:val="00D307E8"/>
    <w:rsid w:val="00D30801"/>
    <w:rsid w:val="00D3099D"/>
    <w:rsid w:val="00D30B1C"/>
    <w:rsid w:val="00D30BA0"/>
    <w:rsid w:val="00D30BD9"/>
    <w:rsid w:val="00D313FA"/>
    <w:rsid w:val="00D31489"/>
    <w:rsid w:val="00D3156D"/>
    <w:rsid w:val="00D31CCB"/>
    <w:rsid w:val="00D31ECA"/>
    <w:rsid w:val="00D32019"/>
    <w:rsid w:val="00D32216"/>
    <w:rsid w:val="00D324B4"/>
    <w:rsid w:val="00D3252D"/>
    <w:rsid w:val="00D32646"/>
    <w:rsid w:val="00D32E27"/>
    <w:rsid w:val="00D32EB5"/>
    <w:rsid w:val="00D33076"/>
    <w:rsid w:val="00D339C2"/>
    <w:rsid w:val="00D33BDA"/>
    <w:rsid w:val="00D3426B"/>
    <w:rsid w:val="00D34B35"/>
    <w:rsid w:val="00D34BC0"/>
    <w:rsid w:val="00D34F93"/>
    <w:rsid w:val="00D352E3"/>
    <w:rsid w:val="00D35300"/>
    <w:rsid w:val="00D354AE"/>
    <w:rsid w:val="00D35671"/>
    <w:rsid w:val="00D356CF"/>
    <w:rsid w:val="00D359CF"/>
    <w:rsid w:val="00D35B23"/>
    <w:rsid w:val="00D35CE3"/>
    <w:rsid w:val="00D36019"/>
    <w:rsid w:val="00D3620D"/>
    <w:rsid w:val="00D364B6"/>
    <w:rsid w:val="00D36543"/>
    <w:rsid w:val="00D365D6"/>
    <w:rsid w:val="00D36856"/>
    <w:rsid w:val="00D36D7E"/>
    <w:rsid w:val="00D36F49"/>
    <w:rsid w:val="00D3708E"/>
    <w:rsid w:val="00D370BD"/>
    <w:rsid w:val="00D371BF"/>
    <w:rsid w:val="00D371E2"/>
    <w:rsid w:val="00D37528"/>
    <w:rsid w:val="00D376FF"/>
    <w:rsid w:val="00D3777D"/>
    <w:rsid w:val="00D37ADE"/>
    <w:rsid w:val="00D37B6F"/>
    <w:rsid w:val="00D400A9"/>
    <w:rsid w:val="00D401E8"/>
    <w:rsid w:val="00D4041B"/>
    <w:rsid w:val="00D40767"/>
    <w:rsid w:val="00D407FC"/>
    <w:rsid w:val="00D40984"/>
    <w:rsid w:val="00D40FD7"/>
    <w:rsid w:val="00D4119A"/>
    <w:rsid w:val="00D4141B"/>
    <w:rsid w:val="00D4153B"/>
    <w:rsid w:val="00D41633"/>
    <w:rsid w:val="00D416C0"/>
    <w:rsid w:val="00D41B0B"/>
    <w:rsid w:val="00D41C4E"/>
    <w:rsid w:val="00D41C74"/>
    <w:rsid w:val="00D41CD5"/>
    <w:rsid w:val="00D41DCF"/>
    <w:rsid w:val="00D42B71"/>
    <w:rsid w:val="00D42C68"/>
    <w:rsid w:val="00D42DD6"/>
    <w:rsid w:val="00D430CF"/>
    <w:rsid w:val="00D435FA"/>
    <w:rsid w:val="00D43ACA"/>
    <w:rsid w:val="00D43AD0"/>
    <w:rsid w:val="00D43B51"/>
    <w:rsid w:val="00D43EB2"/>
    <w:rsid w:val="00D441F5"/>
    <w:rsid w:val="00D443A7"/>
    <w:rsid w:val="00D44469"/>
    <w:rsid w:val="00D44A7D"/>
    <w:rsid w:val="00D44E08"/>
    <w:rsid w:val="00D45435"/>
    <w:rsid w:val="00D457F2"/>
    <w:rsid w:val="00D45C57"/>
    <w:rsid w:val="00D45E79"/>
    <w:rsid w:val="00D4684F"/>
    <w:rsid w:val="00D46963"/>
    <w:rsid w:val="00D46A72"/>
    <w:rsid w:val="00D46B3B"/>
    <w:rsid w:val="00D46BCC"/>
    <w:rsid w:val="00D46CF6"/>
    <w:rsid w:val="00D46D08"/>
    <w:rsid w:val="00D4720D"/>
    <w:rsid w:val="00D4728D"/>
    <w:rsid w:val="00D472A5"/>
    <w:rsid w:val="00D472B3"/>
    <w:rsid w:val="00D47869"/>
    <w:rsid w:val="00D47B3C"/>
    <w:rsid w:val="00D47E3B"/>
    <w:rsid w:val="00D47FEC"/>
    <w:rsid w:val="00D50322"/>
    <w:rsid w:val="00D503BC"/>
    <w:rsid w:val="00D5058F"/>
    <w:rsid w:val="00D50662"/>
    <w:rsid w:val="00D506A7"/>
    <w:rsid w:val="00D507A0"/>
    <w:rsid w:val="00D508B8"/>
    <w:rsid w:val="00D50B52"/>
    <w:rsid w:val="00D50C24"/>
    <w:rsid w:val="00D50D1B"/>
    <w:rsid w:val="00D50DDE"/>
    <w:rsid w:val="00D511F0"/>
    <w:rsid w:val="00D511F6"/>
    <w:rsid w:val="00D51202"/>
    <w:rsid w:val="00D515F5"/>
    <w:rsid w:val="00D51768"/>
    <w:rsid w:val="00D519FF"/>
    <w:rsid w:val="00D51B0B"/>
    <w:rsid w:val="00D51C1A"/>
    <w:rsid w:val="00D51D36"/>
    <w:rsid w:val="00D51DB6"/>
    <w:rsid w:val="00D52222"/>
    <w:rsid w:val="00D5260F"/>
    <w:rsid w:val="00D5272E"/>
    <w:rsid w:val="00D528D5"/>
    <w:rsid w:val="00D53014"/>
    <w:rsid w:val="00D5380C"/>
    <w:rsid w:val="00D53A94"/>
    <w:rsid w:val="00D53A9B"/>
    <w:rsid w:val="00D53CD2"/>
    <w:rsid w:val="00D53F95"/>
    <w:rsid w:val="00D54137"/>
    <w:rsid w:val="00D54408"/>
    <w:rsid w:val="00D544B2"/>
    <w:rsid w:val="00D54615"/>
    <w:rsid w:val="00D5490B"/>
    <w:rsid w:val="00D54939"/>
    <w:rsid w:val="00D551BC"/>
    <w:rsid w:val="00D55204"/>
    <w:rsid w:val="00D55306"/>
    <w:rsid w:val="00D55350"/>
    <w:rsid w:val="00D55675"/>
    <w:rsid w:val="00D558C6"/>
    <w:rsid w:val="00D55961"/>
    <w:rsid w:val="00D55AC5"/>
    <w:rsid w:val="00D55C80"/>
    <w:rsid w:val="00D55CA3"/>
    <w:rsid w:val="00D55D99"/>
    <w:rsid w:val="00D55DFE"/>
    <w:rsid w:val="00D56330"/>
    <w:rsid w:val="00D5633D"/>
    <w:rsid w:val="00D563E8"/>
    <w:rsid w:val="00D566A3"/>
    <w:rsid w:val="00D56797"/>
    <w:rsid w:val="00D56968"/>
    <w:rsid w:val="00D56980"/>
    <w:rsid w:val="00D56B93"/>
    <w:rsid w:val="00D56BD0"/>
    <w:rsid w:val="00D56DBB"/>
    <w:rsid w:val="00D56E98"/>
    <w:rsid w:val="00D56EDC"/>
    <w:rsid w:val="00D57148"/>
    <w:rsid w:val="00D5745F"/>
    <w:rsid w:val="00D57D6D"/>
    <w:rsid w:val="00D57DB6"/>
    <w:rsid w:val="00D60029"/>
    <w:rsid w:val="00D60338"/>
    <w:rsid w:val="00D6048B"/>
    <w:rsid w:val="00D6069E"/>
    <w:rsid w:val="00D60864"/>
    <w:rsid w:val="00D608B0"/>
    <w:rsid w:val="00D60CD5"/>
    <w:rsid w:val="00D610F6"/>
    <w:rsid w:val="00D61153"/>
    <w:rsid w:val="00D612AB"/>
    <w:rsid w:val="00D61D70"/>
    <w:rsid w:val="00D61E25"/>
    <w:rsid w:val="00D620A3"/>
    <w:rsid w:val="00D621C3"/>
    <w:rsid w:val="00D6230E"/>
    <w:rsid w:val="00D62327"/>
    <w:rsid w:val="00D627A1"/>
    <w:rsid w:val="00D62912"/>
    <w:rsid w:val="00D62A11"/>
    <w:rsid w:val="00D62A5F"/>
    <w:rsid w:val="00D62E4E"/>
    <w:rsid w:val="00D62E62"/>
    <w:rsid w:val="00D63026"/>
    <w:rsid w:val="00D63086"/>
    <w:rsid w:val="00D6319E"/>
    <w:rsid w:val="00D63BE3"/>
    <w:rsid w:val="00D63DC4"/>
    <w:rsid w:val="00D63EA4"/>
    <w:rsid w:val="00D63EEF"/>
    <w:rsid w:val="00D63F4C"/>
    <w:rsid w:val="00D640A1"/>
    <w:rsid w:val="00D64CAE"/>
    <w:rsid w:val="00D6501B"/>
    <w:rsid w:val="00D65352"/>
    <w:rsid w:val="00D657CF"/>
    <w:rsid w:val="00D65A0C"/>
    <w:rsid w:val="00D65BE8"/>
    <w:rsid w:val="00D66236"/>
    <w:rsid w:val="00D66348"/>
    <w:rsid w:val="00D664CE"/>
    <w:rsid w:val="00D66D0C"/>
    <w:rsid w:val="00D66D2D"/>
    <w:rsid w:val="00D66FA9"/>
    <w:rsid w:val="00D670B1"/>
    <w:rsid w:val="00D674D2"/>
    <w:rsid w:val="00D67741"/>
    <w:rsid w:val="00D678F1"/>
    <w:rsid w:val="00D70043"/>
    <w:rsid w:val="00D7035C"/>
    <w:rsid w:val="00D7043B"/>
    <w:rsid w:val="00D70644"/>
    <w:rsid w:val="00D70761"/>
    <w:rsid w:val="00D708B4"/>
    <w:rsid w:val="00D70D97"/>
    <w:rsid w:val="00D70EA8"/>
    <w:rsid w:val="00D70FAF"/>
    <w:rsid w:val="00D71141"/>
    <w:rsid w:val="00D716BE"/>
    <w:rsid w:val="00D71798"/>
    <w:rsid w:val="00D71894"/>
    <w:rsid w:val="00D718E7"/>
    <w:rsid w:val="00D71935"/>
    <w:rsid w:val="00D719EC"/>
    <w:rsid w:val="00D71CED"/>
    <w:rsid w:val="00D71DB8"/>
    <w:rsid w:val="00D71E15"/>
    <w:rsid w:val="00D71E84"/>
    <w:rsid w:val="00D72296"/>
    <w:rsid w:val="00D722EA"/>
    <w:rsid w:val="00D723E9"/>
    <w:rsid w:val="00D726B8"/>
    <w:rsid w:val="00D72E81"/>
    <w:rsid w:val="00D72EFE"/>
    <w:rsid w:val="00D73379"/>
    <w:rsid w:val="00D733D0"/>
    <w:rsid w:val="00D73455"/>
    <w:rsid w:val="00D7348C"/>
    <w:rsid w:val="00D73655"/>
    <w:rsid w:val="00D739F9"/>
    <w:rsid w:val="00D73B8F"/>
    <w:rsid w:val="00D73C6A"/>
    <w:rsid w:val="00D73CE9"/>
    <w:rsid w:val="00D73D93"/>
    <w:rsid w:val="00D73E27"/>
    <w:rsid w:val="00D73F5D"/>
    <w:rsid w:val="00D73FFD"/>
    <w:rsid w:val="00D7420E"/>
    <w:rsid w:val="00D74AFD"/>
    <w:rsid w:val="00D74C02"/>
    <w:rsid w:val="00D74DC9"/>
    <w:rsid w:val="00D74F81"/>
    <w:rsid w:val="00D7505F"/>
    <w:rsid w:val="00D750CE"/>
    <w:rsid w:val="00D757A3"/>
    <w:rsid w:val="00D758F6"/>
    <w:rsid w:val="00D75988"/>
    <w:rsid w:val="00D75ABD"/>
    <w:rsid w:val="00D75C61"/>
    <w:rsid w:val="00D761DE"/>
    <w:rsid w:val="00D7631A"/>
    <w:rsid w:val="00D76965"/>
    <w:rsid w:val="00D76B83"/>
    <w:rsid w:val="00D76C5B"/>
    <w:rsid w:val="00D76D72"/>
    <w:rsid w:val="00D76DAE"/>
    <w:rsid w:val="00D76EF8"/>
    <w:rsid w:val="00D76F2F"/>
    <w:rsid w:val="00D76FB4"/>
    <w:rsid w:val="00D77255"/>
    <w:rsid w:val="00D772CE"/>
    <w:rsid w:val="00D773E4"/>
    <w:rsid w:val="00D77C67"/>
    <w:rsid w:val="00D77CAB"/>
    <w:rsid w:val="00D77DE9"/>
    <w:rsid w:val="00D800B6"/>
    <w:rsid w:val="00D801E8"/>
    <w:rsid w:val="00D804B2"/>
    <w:rsid w:val="00D80613"/>
    <w:rsid w:val="00D8062D"/>
    <w:rsid w:val="00D8095F"/>
    <w:rsid w:val="00D80A60"/>
    <w:rsid w:val="00D80B62"/>
    <w:rsid w:val="00D80C61"/>
    <w:rsid w:val="00D8111E"/>
    <w:rsid w:val="00D81282"/>
    <w:rsid w:val="00D8155A"/>
    <w:rsid w:val="00D81593"/>
    <w:rsid w:val="00D81AA6"/>
    <w:rsid w:val="00D81D14"/>
    <w:rsid w:val="00D820AD"/>
    <w:rsid w:val="00D82208"/>
    <w:rsid w:val="00D8288A"/>
    <w:rsid w:val="00D82C28"/>
    <w:rsid w:val="00D83314"/>
    <w:rsid w:val="00D83325"/>
    <w:rsid w:val="00D83607"/>
    <w:rsid w:val="00D84012"/>
    <w:rsid w:val="00D8403F"/>
    <w:rsid w:val="00D843D9"/>
    <w:rsid w:val="00D846A4"/>
    <w:rsid w:val="00D84729"/>
    <w:rsid w:val="00D847FA"/>
    <w:rsid w:val="00D8485D"/>
    <w:rsid w:val="00D84BD8"/>
    <w:rsid w:val="00D84C31"/>
    <w:rsid w:val="00D84C99"/>
    <w:rsid w:val="00D850DE"/>
    <w:rsid w:val="00D8549E"/>
    <w:rsid w:val="00D85842"/>
    <w:rsid w:val="00D85966"/>
    <w:rsid w:val="00D85ADF"/>
    <w:rsid w:val="00D85D9D"/>
    <w:rsid w:val="00D85F45"/>
    <w:rsid w:val="00D85F74"/>
    <w:rsid w:val="00D85F76"/>
    <w:rsid w:val="00D85F9A"/>
    <w:rsid w:val="00D861CB"/>
    <w:rsid w:val="00D8659E"/>
    <w:rsid w:val="00D86A42"/>
    <w:rsid w:val="00D86C2F"/>
    <w:rsid w:val="00D86EC0"/>
    <w:rsid w:val="00D87252"/>
    <w:rsid w:val="00D87677"/>
    <w:rsid w:val="00D876F7"/>
    <w:rsid w:val="00D87862"/>
    <w:rsid w:val="00D878BE"/>
    <w:rsid w:val="00D87F4B"/>
    <w:rsid w:val="00D90038"/>
    <w:rsid w:val="00D9009E"/>
    <w:rsid w:val="00D900AE"/>
    <w:rsid w:val="00D900DC"/>
    <w:rsid w:val="00D90192"/>
    <w:rsid w:val="00D90457"/>
    <w:rsid w:val="00D9050C"/>
    <w:rsid w:val="00D90B38"/>
    <w:rsid w:val="00D90CD8"/>
    <w:rsid w:val="00D90D1B"/>
    <w:rsid w:val="00D90D41"/>
    <w:rsid w:val="00D90D73"/>
    <w:rsid w:val="00D9100A"/>
    <w:rsid w:val="00D91024"/>
    <w:rsid w:val="00D911CE"/>
    <w:rsid w:val="00D91A2B"/>
    <w:rsid w:val="00D91C49"/>
    <w:rsid w:val="00D91F03"/>
    <w:rsid w:val="00D9228E"/>
    <w:rsid w:val="00D926F8"/>
    <w:rsid w:val="00D927C4"/>
    <w:rsid w:val="00D92B16"/>
    <w:rsid w:val="00D93087"/>
    <w:rsid w:val="00D9312F"/>
    <w:rsid w:val="00D933A7"/>
    <w:rsid w:val="00D934AF"/>
    <w:rsid w:val="00D93748"/>
    <w:rsid w:val="00D93AFC"/>
    <w:rsid w:val="00D93BFD"/>
    <w:rsid w:val="00D93C18"/>
    <w:rsid w:val="00D93CC6"/>
    <w:rsid w:val="00D93DC9"/>
    <w:rsid w:val="00D93FFD"/>
    <w:rsid w:val="00D94216"/>
    <w:rsid w:val="00D9443F"/>
    <w:rsid w:val="00D949D7"/>
    <w:rsid w:val="00D94B85"/>
    <w:rsid w:val="00D94CA5"/>
    <w:rsid w:val="00D9529E"/>
    <w:rsid w:val="00D953CF"/>
    <w:rsid w:val="00D95556"/>
    <w:rsid w:val="00D95676"/>
    <w:rsid w:val="00D95C07"/>
    <w:rsid w:val="00D95C43"/>
    <w:rsid w:val="00D95F3E"/>
    <w:rsid w:val="00D960F2"/>
    <w:rsid w:val="00D96447"/>
    <w:rsid w:val="00D96450"/>
    <w:rsid w:val="00D968A2"/>
    <w:rsid w:val="00D969A1"/>
    <w:rsid w:val="00D969C7"/>
    <w:rsid w:val="00D96BD2"/>
    <w:rsid w:val="00D9704E"/>
    <w:rsid w:val="00D970AA"/>
    <w:rsid w:val="00D971A1"/>
    <w:rsid w:val="00D97333"/>
    <w:rsid w:val="00D9742C"/>
    <w:rsid w:val="00D97713"/>
    <w:rsid w:val="00D97B18"/>
    <w:rsid w:val="00D97E24"/>
    <w:rsid w:val="00D97EAD"/>
    <w:rsid w:val="00D97FE9"/>
    <w:rsid w:val="00DA008A"/>
    <w:rsid w:val="00DA0117"/>
    <w:rsid w:val="00DA04BA"/>
    <w:rsid w:val="00DA0694"/>
    <w:rsid w:val="00DA077E"/>
    <w:rsid w:val="00DA0842"/>
    <w:rsid w:val="00DA0DB8"/>
    <w:rsid w:val="00DA117B"/>
    <w:rsid w:val="00DA13F2"/>
    <w:rsid w:val="00DA143E"/>
    <w:rsid w:val="00DA14CD"/>
    <w:rsid w:val="00DA186B"/>
    <w:rsid w:val="00DA1AC5"/>
    <w:rsid w:val="00DA1BA8"/>
    <w:rsid w:val="00DA1C63"/>
    <w:rsid w:val="00DA1DBF"/>
    <w:rsid w:val="00DA1F24"/>
    <w:rsid w:val="00DA24CD"/>
    <w:rsid w:val="00DA251F"/>
    <w:rsid w:val="00DA2691"/>
    <w:rsid w:val="00DA26F3"/>
    <w:rsid w:val="00DA2BBE"/>
    <w:rsid w:val="00DA2DBB"/>
    <w:rsid w:val="00DA2F50"/>
    <w:rsid w:val="00DA2FDE"/>
    <w:rsid w:val="00DA350A"/>
    <w:rsid w:val="00DA3663"/>
    <w:rsid w:val="00DA3A69"/>
    <w:rsid w:val="00DA3C3D"/>
    <w:rsid w:val="00DA3CC9"/>
    <w:rsid w:val="00DA3D7A"/>
    <w:rsid w:val="00DA3E32"/>
    <w:rsid w:val="00DA4554"/>
    <w:rsid w:val="00DA471C"/>
    <w:rsid w:val="00DA474D"/>
    <w:rsid w:val="00DA491E"/>
    <w:rsid w:val="00DA4B99"/>
    <w:rsid w:val="00DA4D3F"/>
    <w:rsid w:val="00DA4F6B"/>
    <w:rsid w:val="00DA506E"/>
    <w:rsid w:val="00DA51C8"/>
    <w:rsid w:val="00DA52EC"/>
    <w:rsid w:val="00DA5537"/>
    <w:rsid w:val="00DA5541"/>
    <w:rsid w:val="00DA5D56"/>
    <w:rsid w:val="00DA5E89"/>
    <w:rsid w:val="00DA5ECE"/>
    <w:rsid w:val="00DA630F"/>
    <w:rsid w:val="00DA639C"/>
    <w:rsid w:val="00DA6C85"/>
    <w:rsid w:val="00DA6F08"/>
    <w:rsid w:val="00DA7743"/>
    <w:rsid w:val="00DA77BB"/>
    <w:rsid w:val="00DA7881"/>
    <w:rsid w:val="00DA7A7A"/>
    <w:rsid w:val="00DA7ABF"/>
    <w:rsid w:val="00DA7C18"/>
    <w:rsid w:val="00DB02A3"/>
    <w:rsid w:val="00DB0AB6"/>
    <w:rsid w:val="00DB0B7D"/>
    <w:rsid w:val="00DB0BFD"/>
    <w:rsid w:val="00DB1014"/>
    <w:rsid w:val="00DB11D2"/>
    <w:rsid w:val="00DB1406"/>
    <w:rsid w:val="00DB15A2"/>
    <w:rsid w:val="00DB16DB"/>
    <w:rsid w:val="00DB174F"/>
    <w:rsid w:val="00DB1BBF"/>
    <w:rsid w:val="00DB1E66"/>
    <w:rsid w:val="00DB1E84"/>
    <w:rsid w:val="00DB1F5F"/>
    <w:rsid w:val="00DB1FDB"/>
    <w:rsid w:val="00DB24CE"/>
    <w:rsid w:val="00DB2611"/>
    <w:rsid w:val="00DB2986"/>
    <w:rsid w:val="00DB29C8"/>
    <w:rsid w:val="00DB29E5"/>
    <w:rsid w:val="00DB2CFB"/>
    <w:rsid w:val="00DB2DD3"/>
    <w:rsid w:val="00DB2FCA"/>
    <w:rsid w:val="00DB302B"/>
    <w:rsid w:val="00DB3301"/>
    <w:rsid w:val="00DB3387"/>
    <w:rsid w:val="00DB3B7C"/>
    <w:rsid w:val="00DB3DD7"/>
    <w:rsid w:val="00DB3F3F"/>
    <w:rsid w:val="00DB46AF"/>
    <w:rsid w:val="00DB4733"/>
    <w:rsid w:val="00DB48CC"/>
    <w:rsid w:val="00DB4A87"/>
    <w:rsid w:val="00DB4B45"/>
    <w:rsid w:val="00DB4BFC"/>
    <w:rsid w:val="00DB561F"/>
    <w:rsid w:val="00DB5785"/>
    <w:rsid w:val="00DB6268"/>
    <w:rsid w:val="00DB674A"/>
    <w:rsid w:val="00DB6A5C"/>
    <w:rsid w:val="00DB6E19"/>
    <w:rsid w:val="00DB6E47"/>
    <w:rsid w:val="00DB6EF7"/>
    <w:rsid w:val="00DB71D0"/>
    <w:rsid w:val="00DB7448"/>
    <w:rsid w:val="00DB7592"/>
    <w:rsid w:val="00DB79EB"/>
    <w:rsid w:val="00DB7A05"/>
    <w:rsid w:val="00DC0031"/>
    <w:rsid w:val="00DC004A"/>
    <w:rsid w:val="00DC033C"/>
    <w:rsid w:val="00DC05A5"/>
    <w:rsid w:val="00DC063F"/>
    <w:rsid w:val="00DC09A7"/>
    <w:rsid w:val="00DC0BDF"/>
    <w:rsid w:val="00DC136A"/>
    <w:rsid w:val="00DC14BE"/>
    <w:rsid w:val="00DC1A42"/>
    <w:rsid w:val="00DC1F04"/>
    <w:rsid w:val="00DC1FD5"/>
    <w:rsid w:val="00DC2311"/>
    <w:rsid w:val="00DC28FE"/>
    <w:rsid w:val="00DC2B8C"/>
    <w:rsid w:val="00DC2BCC"/>
    <w:rsid w:val="00DC2DD3"/>
    <w:rsid w:val="00DC3299"/>
    <w:rsid w:val="00DC346E"/>
    <w:rsid w:val="00DC3538"/>
    <w:rsid w:val="00DC35B2"/>
    <w:rsid w:val="00DC36E6"/>
    <w:rsid w:val="00DC3C23"/>
    <w:rsid w:val="00DC3FDD"/>
    <w:rsid w:val="00DC4250"/>
    <w:rsid w:val="00DC467B"/>
    <w:rsid w:val="00DC49DF"/>
    <w:rsid w:val="00DC4BCE"/>
    <w:rsid w:val="00DC4BD6"/>
    <w:rsid w:val="00DC4D4E"/>
    <w:rsid w:val="00DC4D9E"/>
    <w:rsid w:val="00DC5046"/>
    <w:rsid w:val="00DC5733"/>
    <w:rsid w:val="00DC5D7C"/>
    <w:rsid w:val="00DC5EF9"/>
    <w:rsid w:val="00DC6153"/>
    <w:rsid w:val="00DC6322"/>
    <w:rsid w:val="00DC641F"/>
    <w:rsid w:val="00DC6943"/>
    <w:rsid w:val="00DC698C"/>
    <w:rsid w:val="00DC6BB4"/>
    <w:rsid w:val="00DC70A6"/>
    <w:rsid w:val="00DC7673"/>
    <w:rsid w:val="00DC782F"/>
    <w:rsid w:val="00DC785D"/>
    <w:rsid w:val="00DC7A23"/>
    <w:rsid w:val="00DC7E32"/>
    <w:rsid w:val="00DC7FC4"/>
    <w:rsid w:val="00DC7FCE"/>
    <w:rsid w:val="00DD017B"/>
    <w:rsid w:val="00DD04DE"/>
    <w:rsid w:val="00DD087E"/>
    <w:rsid w:val="00DD1333"/>
    <w:rsid w:val="00DD13F6"/>
    <w:rsid w:val="00DD18D6"/>
    <w:rsid w:val="00DD1A4F"/>
    <w:rsid w:val="00DD1A66"/>
    <w:rsid w:val="00DD1C60"/>
    <w:rsid w:val="00DD1C82"/>
    <w:rsid w:val="00DD1D1E"/>
    <w:rsid w:val="00DD1D38"/>
    <w:rsid w:val="00DD1EC3"/>
    <w:rsid w:val="00DD1F5A"/>
    <w:rsid w:val="00DD212E"/>
    <w:rsid w:val="00DD2133"/>
    <w:rsid w:val="00DD229C"/>
    <w:rsid w:val="00DD25AE"/>
    <w:rsid w:val="00DD26AA"/>
    <w:rsid w:val="00DD2747"/>
    <w:rsid w:val="00DD2803"/>
    <w:rsid w:val="00DD291E"/>
    <w:rsid w:val="00DD296A"/>
    <w:rsid w:val="00DD3006"/>
    <w:rsid w:val="00DD330D"/>
    <w:rsid w:val="00DD3356"/>
    <w:rsid w:val="00DD36AA"/>
    <w:rsid w:val="00DD3782"/>
    <w:rsid w:val="00DD39CB"/>
    <w:rsid w:val="00DD3E57"/>
    <w:rsid w:val="00DD3EDB"/>
    <w:rsid w:val="00DD408C"/>
    <w:rsid w:val="00DD408D"/>
    <w:rsid w:val="00DD4265"/>
    <w:rsid w:val="00DD45F0"/>
    <w:rsid w:val="00DD4669"/>
    <w:rsid w:val="00DD4748"/>
    <w:rsid w:val="00DD48D9"/>
    <w:rsid w:val="00DD49C2"/>
    <w:rsid w:val="00DD4B53"/>
    <w:rsid w:val="00DD4BDB"/>
    <w:rsid w:val="00DD5049"/>
    <w:rsid w:val="00DD5125"/>
    <w:rsid w:val="00DD55AF"/>
    <w:rsid w:val="00DD5927"/>
    <w:rsid w:val="00DD5E13"/>
    <w:rsid w:val="00DD632B"/>
    <w:rsid w:val="00DD6385"/>
    <w:rsid w:val="00DD695C"/>
    <w:rsid w:val="00DD6AD2"/>
    <w:rsid w:val="00DD6B0A"/>
    <w:rsid w:val="00DD6BED"/>
    <w:rsid w:val="00DD7088"/>
    <w:rsid w:val="00DD7390"/>
    <w:rsid w:val="00DE009E"/>
    <w:rsid w:val="00DE0165"/>
    <w:rsid w:val="00DE0177"/>
    <w:rsid w:val="00DE03C6"/>
    <w:rsid w:val="00DE05B8"/>
    <w:rsid w:val="00DE0D43"/>
    <w:rsid w:val="00DE0FC1"/>
    <w:rsid w:val="00DE158A"/>
    <w:rsid w:val="00DE1BF1"/>
    <w:rsid w:val="00DE21BD"/>
    <w:rsid w:val="00DE249F"/>
    <w:rsid w:val="00DE24F5"/>
    <w:rsid w:val="00DE2871"/>
    <w:rsid w:val="00DE28FF"/>
    <w:rsid w:val="00DE2A37"/>
    <w:rsid w:val="00DE2C25"/>
    <w:rsid w:val="00DE2C4A"/>
    <w:rsid w:val="00DE2DDB"/>
    <w:rsid w:val="00DE2E6D"/>
    <w:rsid w:val="00DE2EA2"/>
    <w:rsid w:val="00DE300C"/>
    <w:rsid w:val="00DE3A1D"/>
    <w:rsid w:val="00DE3C42"/>
    <w:rsid w:val="00DE42CD"/>
    <w:rsid w:val="00DE43B1"/>
    <w:rsid w:val="00DE4709"/>
    <w:rsid w:val="00DE49B4"/>
    <w:rsid w:val="00DE4A74"/>
    <w:rsid w:val="00DE4B03"/>
    <w:rsid w:val="00DE4F2D"/>
    <w:rsid w:val="00DE4FC6"/>
    <w:rsid w:val="00DE5254"/>
    <w:rsid w:val="00DE550F"/>
    <w:rsid w:val="00DE5597"/>
    <w:rsid w:val="00DE55C7"/>
    <w:rsid w:val="00DE5711"/>
    <w:rsid w:val="00DE58F4"/>
    <w:rsid w:val="00DE6095"/>
    <w:rsid w:val="00DE6229"/>
    <w:rsid w:val="00DE63F7"/>
    <w:rsid w:val="00DE6537"/>
    <w:rsid w:val="00DE66DD"/>
    <w:rsid w:val="00DE6F7B"/>
    <w:rsid w:val="00DE7A16"/>
    <w:rsid w:val="00DE7AE9"/>
    <w:rsid w:val="00DE7B68"/>
    <w:rsid w:val="00DE7C2F"/>
    <w:rsid w:val="00DE7CA2"/>
    <w:rsid w:val="00DE7E3E"/>
    <w:rsid w:val="00DF0035"/>
    <w:rsid w:val="00DF01CC"/>
    <w:rsid w:val="00DF02A2"/>
    <w:rsid w:val="00DF041D"/>
    <w:rsid w:val="00DF09B1"/>
    <w:rsid w:val="00DF0DCE"/>
    <w:rsid w:val="00DF0E14"/>
    <w:rsid w:val="00DF1221"/>
    <w:rsid w:val="00DF1446"/>
    <w:rsid w:val="00DF14D5"/>
    <w:rsid w:val="00DF1C2C"/>
    <w:rsid w:val="00DF1FED"/>
    <w:rsid w:val="00DF23B6"/>
    <w:rsid w:val="00DF2997"/>
    <w:rsid w:val="00DF2E57"/>
    <w:rsid w:val="00DF348E"/>
    <w:rsid w:val="00DF3550"/>
    <w:rsid w:val="00DF3838"/>
    <w:rsid w:val="00DF4190"/>
    <w:rsid w:val="00DF49DD"/>
    <w:rsid w:val="00DF4C7F"/>
    <w:rsid w:val="00DF513B"/>
    <w:rsid w:val="00DF5167"/>
    <w:rsid w:val="00DF5227"/>
    <w:rsid w:val="00DF5518"/>
    <w:rsid w:val="00DF5919"/>
    <w:rsid w:val="00DF59EC"/>
    <w:rsid w:val="00DF5AC8"/>
    <w:rsid w:val="00DF5EE9"/>
    <w:rsid w:val="00DF605B"/>
    <w:rsid w:val="00DF623B"/>
    <w:rsid w:val="00DF6299"/>
    <w:rsid w:val="00DF62B8"/>
    <w:rsid w:val="00DF6381"/>
    <w:rsid w:val="00DF6B84"/>
    <w:rsid w:val="00DF6D43"/>
    <w:rsid w:val="00DF6F19"/>
    <w:rsid w:val="00DF71A3"/>
    <w:rsid w:val="00DF7275"/>
    <w:rsid w:val="00DF74DE"/>
    <w:rsid w:val="00DF7898"/>
    <w:rsid w:val="00E0010D"/>
    <w:rsid w:val="00E00B02"/>
    <w:rsid w:val="00E00C6A"/>
    <w:rsid w:val="00E01066"/>
    <w:rsid w:val="00E01070"/>
    <w:rsid w:val="00E0135A"/>
    <w:rsid w:val="00E0184B"/>
    <w:rsid w:val="00E01949"/>
    <w:rsid w:val="00E019F3"/>
    <w:rsid w:val="00E01F7B"/>
    <w:rsid w:val="00E01F94"/>
    <w:rsid w:val="00E02234"/>
    <w:rsid w:val="00E0236C"/>
    <w:rsid w:val="00E023F1"/>
    <w:rsid w:val="00E02509"/>
    <w:rsid w:val="00E0289F"/>
    <w:rsid w:val="00E02A94"/>
    <w:rsid w:val="00E02AD0"/>
    <w:rsid w:val="00E02D61"/>
    <w:rsid w:val="00E02D65"/>
    <w:rsid w:val="00E02DC4"/>
    <w:rsid w:val="00E036F4"/>
    <w:rsid w:val="00E03879"/>
    <w:rsid w:val="00E03D6F"/>
    <w:rsid w:val="00E042AF"/>
    <w:rsid w:val="00E044B7"/>
    <w:rsid w:val="00E0451D"/>
    <w:rsid w:val="00E0489A"/>
    <w:rsid w:val="00E04975"/>
    <w:rsid w:val="00E04CE6"/>
    <w:rsid w:val="00E054AC"/>
    <w:rsid w:val="00E05504"/>
    <w:rsid w:val="00E05CDF"/>
    <w:rsid w:val="00E05D9C"/>
    <w:rsid w:val="00E05E11"/>
    <w:rsid w:val="00E05FA5"/>
    <w:rsid w:val="00E0626D"/>
    <w:rsid w:val="00E063A5"/>
    <w:rsid w:val="00E06466"/>
    <w:rsid w:val="00E06864"/>
    <w:rsid w:val="00E06880"/>
    <w:rsid w:val="00E06A3C"/>
    <w:rsid w:val="00E06C74"/>
    <w:rsid w:val="00E06E6E"/>
    <w:rsid w:val="00E0714B"/>
    <w:rsid w:val="00E071E5"/>
    <w:rsid w:val="00E073B4"/>
    <w:rsid w:val="00E0743A"/>
    <w:rsid w:val="00E07507"/>
    <w:rsid w:val="00E0762F"/>
    <w:rsid w:val="00E078AC"/>
    <w:rsid w:val="00E079DD"/>
    <w:rsid w:val="00E07DD2"/>
    <w:rsid w:val="00E07E70"/>
    <w:rsid w:val="00E105BC"/>
    <w:rsid w:val="00E105FF"/>
    <w:rsid w:val="00E10693"/>
    <w:rsid w:val="00E107F4"/>
    <w:rsid w:val="00E10FC4"/>
    <w:rsid w:val="00E11085"/>
    <w:rsid w:val="00E11272"/>
    <w:rsid w:val="00E1174E"/>
    <w:rsid w:val="00E11E56"/>
    <w:rsid w:val="00E12064"/>
    <w:rsid w:val="00E124AB"/>
    <w:rsid w:val="00E12654"/>
    <w:rsid w:val="00E12C02"/>
    <w:rsid w:val="00E12EB3"/>
    <w:rsid w:val="00E13185"/>
    <w:rsid w:val="00E1359F"/>
    <w:rsid w:val="00E136CA"/>
    <w:rsid w:val="00E13A60"/>
    <w:rsid w:val="00E13B7F"/>
    <w:rsid w:val="00E13C29"/>
    <w:rsid w:val="00E13C30"/>
    <w:rsid w:val="00E13CAB"/>
    <w:rsid w:val="00E143A7"/>
    <w:rsid w:val="00E144A1"/>
    <w:rsid w:val="00E1461A"/>
    <w:rsid w:val="00E14E6A"/>
    <w:rsid w:val="00E14EA5"/>
    <w:rsid w:val="00E14F2D"/>
    <w:rsid w:val="00E14FA3"/>
    <w:rsid w:val="00E15383"/>
    <w:rsid w:val="00E15419"/>
    <w:rsid w:val="00E1547C"/>
    <w:rsid w:val="00E15584"/>
    <w:rsid w:val="00E1558E"/>
    <w:rsid w:val="00E15BB5"/>
    <w:rsid w:val="00E160CD"/>
    <w:rsid w:val="00E1644C"/>
    <w:rsid w:val="00E164B5"/>
    <w:rsid w:val="00E16553"/>
    <w:rsid w:val="00E16657"/>
    <w:rsid w:val="00E16917"/>
    <w:rsid w:val="00E16C6D"/>
    <w:rsid w:val="00E16FB3"/>
    <w:rsid w:val="00E170F2"/>
    <w:rsid w:val="00E1731B"/>
    <w:rsid w:val="00E205DD"/>
    <w:rsid w:val="00E208D6"/>
    <w:rsid w:val="00E20E7D"/>
    <w:rsid w:val="00E21005"/>
    <w:rsid w:val="00E21258"/>
    <w:rsid w:val="00E21D3F"/>
    <w:rsid w:val="00E21DC4"/>
    <w:rsid w:val="00E21E2C"/>
    <w:rsid w:val="00E21E3F"/>
    <w:rsid w:val="00E22943"/>
    <w:rsid w:val="00E22986"/>
    <w:rsid w:val="00E22B05"/>
    <w:rsid w:val="00E22F5D"/>
    <w:rsid w:val="00E23073"/>
    <w:rsid w:val="00E235C9"/>
    <w:rsid w:val="00E235CF"/>
    <w:rsid w:val="00E2378A"/>
    <w:rsid w:val="00E24073"/>
    <w:rsid w:val="00E242CE"/>
    <w:rsid w:val="00E2430A"/>
    <w:rsid w:val="00E24A85"/>
    <w:rsid w:val="00E24B2A"/>
    <w:rsid w:val="00E24B56"/>
    <w:rsid w:val="00E24D09"/>
    <w:rsid w:val="00E251DC"/>
    <w:rsid w:val="00E2538C"/>
    <w:rsid w:val="00E254EC"/>
    <w:rsid w:val="00E25913"/>
    <w:rsid w:val="00E25AB0"/>
    <w:rsid w:val="00E2683D"/>
    <w:rsid w:val="00E26851"/>
    <w:rsid w:val="00E26866"/>
    <w:rsid w:val="00E26C38"/>
    <w:rsid w:val="00E26CBF"/>
    <w:rsid w:val="00E27064"/>
    <w:rsid w:val="00E27359"/>
    <w:rsid w:val="00E274D1"/>
    <w:rsid w:val="00E27668"/>
    <w:rsid w:val="00E2777B"/>
    <w:rsid w:val="00E27783"/>
    <w:rsid w:val="00E278DB"/>
    <w:rsid w:val="00E30423"/>
    <w:rsid w:val="00E30665"/>
    <w:rsid w:val="00E30C43"/>
    <w:rsid w:val="00E30C4C"/>
    <w:rsid w:val="00E30D2A"/>
    <w:rsid w:val="00E30EB8"/>
    <w:rsid w:val="00E3136D"/>
    <w:rsid w:val="00E316CD"/>
    <w:rsid w:val="00E31843"/>
    <w:rsid w:val="00E3193D"/>
    <w:rsid w:val="00E31979"/>
    <w:rsid w:val="00E31A62"/>
    <w:rsid w:val="00E31B79"/>
    <w:rsid w:val="00E31C41"/>
    <w:rsid w:val="00E31D31"/>
    <w:rsid w:val="00E31EDD"/>
    <w:rsid w:val="00E3214D"/>
    <w:rsid w:val="00E3217C"/>
    <w:rsid w:val="00E323B0"/>
    <w:rsid w:val="00E325CB"/>
    <w:rsid w:val="00E32722"/>
    <w:rsid w:val="00E32C16"/>
    <w:rsid w:val="00E32D43"/>
    <w:rsid w:val="00E32F89"/>
    <w:rsid w:val="00E3305B"/>
    <w:rsid w:val="00E3327C"/>
    <w:rsid w:val="00E33551"/>
    <w:rsid w:val="00E337E4"/>
    <w:rsid w:val="00E33987"/>
    <w:rsid w:val="00E339D4"/>
    <w:rsid w:val="00E33B73"/>
    <w:rsid w:val="00E3438D"/>
    <w:rsid w:val="00E343C1"/>
    <w:rsid w:val="00E3491D"/>
    <w:rsid w:val="00E3492E"/>
    <w:rsid w:val="00E34A6C"/>
    <w:rsid w:val="00E34C12"/>
    <w:rsid w:val="00E34C59"/>
    <w:rsid w:val="00E34EE1"/>
    <w:rsid w:val="00E34F38"/>
    <w:rsid w:val="00E35370"/>
    <w:rsid w:val="00E35475"/>
    <w:rsid w:val="00E3552A"/>
    <w:rsid w:val="00E357CE"/>
    <w:rsid w:val="00E359B7"/>
    <w:rsid w:val="00E35F33"/>
    <w:rsid w:val="00E363E5"/>
    <w:rsid w:val="00E369F0"/>
    <w:rsid w:val="00E37018"/>
    <w:rsid w:val="00E37094"/>
    <w:rsid w:val="00E37287"/>
    <w:rsid w:val="00E37291"/>
    <w:rsid w:val="00E37410"/>
    <w:rsid w:val="00E37508"/>
    <w:rsid w:val="00E3794C"/>
    <w:rsid w:val="00E379CD"/>
    <w:rsid w:val="00E37D68"/>
    <w:rsid w:val="00E37E16"/>
    <w:rsid w:val="00E400B3"/>
    <w:rsid w:val="00E40234"/>
    <w:rsid w:val="00E40300"/>
    <w:rsid w:val="00E40357"/>
    <w:rsid w:val="00E40461"/>
    <w:rsid w:val="00E4051A"/>
    <w:rsid w:val="00E40691"/>
    <w:rsid w:val="00E41221"/>
    <w:rsid w:val="00E41721"/>
    <w:rsid w:val="00E41896"/>
    <w:rsid w:val="00E41B0B"/>
    <w:rsid w:val="00E41BA8"/>
    <w:rsid w:val="00E42391"/>
    <w:rsid w:val="00E42652"/>
    <w:rsid w:val="00E42879"/>
    <w:rsid w:val="00E429E8"/>
    <w:rsid w:val="00E42A7D"/>
    <w:rsid w:val="00E42E5A"/>
    <w:rsid w:val="00E42F1F"/>
    <w:rsid w:val="00E42FAA"/>
    <w:rsid w:val="00E432AA"/>
    <w:rsid w:val="00E432BD"/>
    <w:rsid w:val="00E43628"/>
    <w:rsid w:val="00E43C31"/>
    <w:rsid w:val="00E43D7A"/>
    <w:rsid w:val="00E43E17"/>
    <w:rsid w:val="00E444F4"/>
    <w:rsid w:val="00E445A7"/>
    <w:rsid w:val="00E446F2"/>
    <w:rsid w:val="00E4473A"/>
    <w:rsid w:val="00E4487F"/>
    <w:rsid w:val="00E44DC1"/>
    <w:rsid w:val="00E4561B"/>
    <w:rsid w:val="00E45C14"/>
    <w:rsid w:val="00E45F6B"/>
    <w:rsid w:val="00E460B3"/>
    <w:rsid w:val="00E460ED"/>
    <w:rsid w:val="00E46BC1"/>
    <w:rsid w:val="00E46CF4"/>
    <w:rsid w:val="00E46DE3"/>
    <w:rsid w:val="00E46FF3"/>
    <w:rsid w:val="00E47276"/>
    <w:rsid w:val="00E47532"/>
    <w:rsid w:val="00E4759B"/>
    <w:rsid w:val="00E47638"/>
    <w:rsid w:val="00E4778D"/>
    <w:rsid w:val="00E477EA"/>
    <w:rsid w:val="00E47850"/>
    <w:rsid w:val="00E4790E"/>
    <w:rsid w:val="00E47BE7"/>
    <w:rsid w:val="00E47C14"/>
    <w:rsid w:val="00E47CB2"/>
    <w:rsid w:val="00E47E88"/>
    <w:rsid w:val="00E500E0"/>
    <w:rsid w:val="00E5013D"/>
    <w:rsid w:val="00E50206"/>
    <w:rsid w:val="00E5069D"/>
    <w:rsid w:val="00E5069E"/>
    <w:rsid w:val="00E50857"/>
    <w:rsid w:val="00E50C61"/>
    <w:rsid w:val="00E50D90"/>
    <w:rsid w:val="00E50DD9"/>
    <w:rsid w:val="00E50F40"/>
    <w:rsid w:val="00E50F91"/>
    <w:rsid w:val="00E5118F"/>
    <w:rsid w:val="00E511DD"/>
    <w:rsid w:val="00E513CC"/>
    <w:rsid w:val="00E5145C"/>
    <w:rsid w:val="00E51797"/>
    <w:rsid w:val="00E51FE4"/>
    <w:rsid w:val="00E5202A"/>
    <w:rsid w:val="00E520FD"/>
    <w:rsid w:val="00E52838"/>
    <w:rsid w:val="00E528CE"/>
    <w:rsid w:val="00E52C81"/>
    <w:rsid w:val="00E52E83"/>
    <w:rsid w:val="00E5315D"/>
    <w:rsid w:val="00E53333"/>
    <w:rsid w:val="00E53682"/>
    <w:rsid w:val="00E53FA2"/>
    <w:rsid w:val="00E53FBB"/>
    <w:rsid w:val="00E53FD7"/>
    <w:rsid w:val="00E5469F"/>
    <w:rsid w:val="00E548CA"/>
    <w:rsid w:val="00E54C54"/>
    <w:rsid w:val="00E54D6E"/>
    <w:rsid w:val="00E54DEF"/>
    <w:rsid w:val="00E5507E"/>
    <w:rsid w:val="00E5522D"/>
    <w:rsid w:val="00E5539A"/>
    <w:rsid w:val="00E55ABE"/>
    <w:rsid w:val="00E55B83"/>
    <w:rsid w:val="00E55BDA"/>
    <w:rsid w:val="00E56011"/>
    <w:rsid w:val="00E560D3"/>
    <w:rsid w:val="00E5677F"/>
    <w:rsid w:val="00E56BC8"/>
    <w:rsid w:val="00E56D7A"/>
    <w:rsid w:val="00E573A0"/>
    <w:rsid w:val="00E573BF"/>
    <w:rsid w:val="00E5742E"/>
    <w:rsid w:val="00E57761"/>
    <w:rsid w:val="00E577FA"/>
    <w:rsid w:val="00E5795E"/>
    <w:rsid w:val="00E57B8E"/>
    <w:rsid w:val="00E57CB1"/>
    <w:rsid w:val="00E57FA2"/>
    <w:rsid w:val="00E6010F"/>
    <w:rsid w:val="00E602C7"/>
    <w:rsid w:val="00E603F8"/>
    <w:rsid w:val="00E60BF2"/>
    <w:rsid w:val="00E60DC8"/>
    <w:rsid w:val="00E60DDA"/>
    <w:rsid w:val="00E60E07"/>
    <w:rsid w:val="00E60FCB"/>
    <w:rsid w:val="00E60FDF"/>
    <w:rsid w:val="00E61088"/>
    <w:rsid w:val="00E615ED"/>
    <w:rsid w:val="00E61CA2"/>
    <w:rsid w:val="00E61EBC"/>
    <w:rsid w:val="00E62168"/>
    <w:rsid w:val="00E627E0"/>
    <w:rsid w:val="00E630D7"/>
    <w:rsid w:val="00E6346E"/>
    <w:rsid w:val="00E634A2"/>
    <w:rsid w:val="00E63DA0"/>
    <w:rsid w:val="00E63ED6"/>
    <w:rsid w:val="00E63FC1"/>
    <w:rsid w:val="00E640AF"/>
    <w:rsid w:val="00E6432F"/>
    <w:rsid w:val="00E64757"/>
    <w:rsid w:val="00E64809"/>
    <w:rsid w:val="00E64883"/>
    <w:rsid w:val="00E64AD1"/>
    <w:rsid w:val="00E64B1E"/>
    <w:rsid w:val="00E64BDD"/>
    <w:rsid w:val="00E64E61"/>
    <w:rsid w:val="00E66A16"/>
    <w:rsid w:val="00E66AAE"/>
    <w:rsid w:val="00E6703E"/>
    <w:rsid w:val="00E671E6"/>
    <w:rsid w:val="00E6725B"/>
    <w:rsid w:val="00E674B3"/>
    <w:rsid w:val="00E67684"/>
    <w:rsid w:val="00E676D4"/>
    <w:rsid w:val="00E7013D"/>
    <w:rsid w:val="00E703AF"/>
    <w:rsid w:val="00E70561"/>
    <w:rsid w:val="00E706A7"/>
    <w:rsid w:val="00E70AF2"/>
    <w:rsid w:val="00E70EBE"/>
    <w:rsid w:val="00E70F2F"/>
    <w:rsid w:val="00E71335"/>
    <w:rsid w:val="00E71585"/>
    <w:rsid w:val="00E71C2F"/>
    <w:rsid w:val="00E71C8D"/>
    <w:rsid w:val="00E71F61"/>
    <w:rsid w:val="00E72138"/>
    <w:rsid w:val="00E72354"/>
    <w:rsid w:val="00E725F7"/>
    <w:rsid w:val="00E72A25"/>
    <w:rsid w:val="00E72A7F"/>
    <w:rsid w:val="00E72AAA"/>
    <w:rsid w:val="00E72C71"/>
    <w:rsid w:val="00E72D44"/>
    <w:rsid w:val="00E72ECF"/>
    <w:rsid w:val="00E72F87"/>
    <w:rsid w:val="00E73416"/>
    <w:rsid w:val="00E734D9"/>
    <w:rsid w:val="00E73699"/>
    <w:rsid w:val="00E73867"/>
    <w:rsid w:val="00E739FA"/>
    <w:rsid w:val="00E73A66"/>
    <w:rsid w:val="00E73C1F"/>
    <w:rsid w:val="00E73E89"/>
    <w:rsid w:val="00E74035"/>
    <w:rsid w:val="00E741D6"/>
    <w:rsid w:val="00E746A0"/>
    <w:rsid w:val="00E747B6"/>
    <w:rsid w:val="00E74DE2"/>
    <w:rsid w:val="00E74F31"/>
    <w:rsid w:val="00E75057"/>
    <w:rsid w:val="00E75152"/>
    <w:rsid w:val="00E757D9"/>
    <w:rsid w:val="00E757E9"/>
    <w:rsid w:val="00E75DE4"/>
    <w:rsid w:val="00E75EEE"/>
    <w:rsid w:val="00E75F6F"/>
    <w:rsid w:val="00E765E5"/>
    <w:rsid w:val="00E767AF"/>
    <w:rsid w:val="00E7685B"/>
    <w:rsid w:val="00E76AEA"/>
    <w:rsid w:val="00E76BC6"/>
    <w:rsid w:val="00E76E0A"/>
    <w:rsid w:val="00E773EC"/>
    <w:rsid w:val="00E77545"/>
    <w:rsid w:val="00E80188"/>
    <w:rsid w:val="00E804FA"/>
    <w:rsid w:val="00E805E1"/>
    <w:rsid w:val="00E807A7"/>
    <w:rsid w:val="00E808B7"/>
    <w:rsid w:val="00E80999"/>
    <w:rsid w:val="00E8113D"/>
    <w:rsid w:val="00E8140A"/>
    <w:rsid w:val="00E814FA"/>
    <w:rsid w:val="00E81746"/>
    <w:rsid w:val="00E8190F"/>
    <w:rsid w:val="00E81C72"/>
    <w:rsid w:val="00E81CEF"/>
    <w:rsid w:val="00E82228"/>
    <w:rsid w:val="00E82398"/>
    <w:rsid w:val="00E824E9"/>
    <w:rsid w:val="00E8252F"/>
    <w:rsid w:val="00E825DE"/>
    <w:rsid w:val="00E82713"/>
    <w:rsid w:val="00E82873"/>
    <w:rsid w:val="00E82B5C"/>
    <w:rsid w:val="00E82E9B"/>
    <w:rsid w:val="00E83137"/>
    <w:rsid w:val="00E8326D"/>
    <w:rsid w:val="00E8368B"/>
    <w:rsid w:val="00E83AEB"/>
    <w:rsid w:val="00E841E1"/>
    <w:rsid w:val="00E841EF"/>
    <w:rsid w:val="00E84264"/>
    <w:rsid w:val="00E8452A"/>
    <w:rsid w:val="00E845FE"/>
    <w:rsid w:val="00E84C68"/>
    <w:rsid w:val="00E84F75"/>
    <w:rsid w:val="00E84FE4"/>
    <w:rsid w:val="00E855EF"/>
    <w:rsid w:val="00E8583B"/>
    <w:rsid w:val="00E85E50"/>
    <w:rsid w:val="00E85F62"/>
    <w:rsid w:val="00E8646B"/>
    <w:rsid w:val="00E86847"/>
    <w:rsid w:val="00E86C87"/>
    <w:rsid w:val="00E86D81"/>
    <w:rsid w:val="00E86DE2"/>
    <w:rsid w:val="00E86DEA"/>
    <w:rsid w:val="00E872BA"/>
    <w:rsid w:val="00E8774F"/>
    <w:rsid w:val="00E8775F"/>
    <w:rsid w:val="00E87BEC"/>
    <w:rsid w:val="00E87D3C"/>
    <w:rsid w:val="00E90056"/>
    <w:rsid w:val="00E901AE"/>
    <w:rsid w:val="00E90BB4"/>
    <w:rsid w:val="00E91269"/>
    <w:rsid w:val="00E9177E"/>
    <w:rsid w:val="00E91950"/>
    <w:rsid w:val="00E91BA4"/>
    <w:rsid w:val="00E91E90"/>
    <w:rsid w:val="00E91F3B"/>
    <w:rsid w:val="00E920AF"/>
    <w:rsid w:val="00E92680"/>
    <w:rsid w:val="00E926B3"/>
    <w:rsid w:val="00E927A1"/>
    <w:rsid w:val="00E928B8"/>
    <w:rsid w:val="00E92E98"/>
    <w:rsid w:val="00E9313E"/>
    <w:rsid w:val="00E93381"/>
    <w:rsid w:val="00E9345B"/>
    <w:rsid w:val="00E9372A"/>
    <w:rsid w:val="00E938E5"/>
    <w:rsid w:val="00E93DAF"/>
    <w:rsid w:val="00E93E3D"/>
    <w:rsid w:val="00E93E7E"/>
    <w:rsid w:val="00E94022"/>
    <w:rsid w:val="00E94530"/>
    <w:rsid w:val="00E94A07"/>
    <w:rsid w:val="00E94B1C"/>
    <w:rsid w:val="00E94B49"/>
    <w:rsid w:val="00E94F1C"/>
    <w:rsid w:val="00E95511"/>
    <w:rsid w:val="00E95784"/>
    <w:rsid w:val="00E9586B"/>
    <w:rsid w:val="00E95914"/>
    <w:rsid w:val="00E95A9F"/>
    <w:rsid w:val="00E95E14"/>
    <w:rsid w:val="00E960E7"/>
    <w:rsid w:val="00E9642E"/>
    <w:rsid w:val="00E964C5"/>
    <w:rsid w:val="00E9653D"/>
    <w:rsid w:val="00E9654D"/>
    <w:rsid w:val="00E967E9"/>
    <w:rsid w:val="00E96842"/>
    <w:rsid w:val="00E96F1C"/>
    <w:rsid w:val="00E9711E"/>
    <w:rsid w:val="00E97245"/>
    <w:rsid w:val="00E972DB"/>
    <w:rsid w:val="00E97427"/>
    <w:rsid w:val="00E974F5"/>
    <w:rsid w:val="00E97A20"/>
    <w:rsid w:val="00E97F9D"/>
    <w:rsid w:val="00EA0170"/>
    <w:rsid w:val="00EA0431"/>
    <w:rsid w:val="00EA06D5"/>
    <w:rsid w:val="00EA0834"/>
    <w:rsid w:val="00EA088A"/>
    <w:rsid w:val="00EA117D"/>
    <w:rsid w:val="00EA130B"/>
    <w:rsid w:val="00EA168D"/>
    <w:rsid w:val="00EA198E"/>
    <w:rsid w:val="00EA1A2E"/>
    <w:rsid w:val="00EA1BD4"/>
    <w:rsid w:val="00EA1CA0"/>
    <w:rsid w:val="00EA1F05"/>
    <w:rsid w:val="00EA22DE"/>
    <w:rsid w:val="00EA233A"/>
    <w:rsid w:val="00EA23BF"/>
    <w:rsid w:val="00EA25DF"/>
    <w:rsid w:val="00EA2B69"/>
    <w:rsid w:val="00EA2EBA"/>
    <w:rsid w:val="00EA2F51"/>
    <w:rsid w:val="00EA3218"/>
    <w:rsid w:val="00EA3270"/>
    <w:rsid w:val="00EA3726"/>
    <w:rsid w:val="00EA3B85"/>
    <w:rsid w:val="00EA3D3B"/>
    <w:rsid w:val="00EA3FF4"/>
    <w:rsid w:val="00EA4603"/>
    <w:rsid w:val="00EA47F3"/>
    <w:rsid w:val="00EA4B68"/>
    <w:rsid w:val="00EA4EDB"/>
    <w:rsid w:val="00EA5160"/>
    <w:rsid w:val="00EA5284"/>
    <w:rsid w:val="00EA54D6"/>
    <w:rsid w:val="00EA5558"/>
    <w:rsid w:val="00EA57CE"/>
    <w:rsid w:val="00EA5C77"/>
    <w:rsid w:val="00EA5CCE"/>
    <w:rsid w:val="00EA5F18"/>
    <w:rsid w:val="00EA6075"/>
    <w:rsid w:val="00EA61E8"/>
    <w:rsid w:val="00EA6430"/>
    <w:rsid w:val="00EA65A5"/>
    <w:rsid w:val="00EA65EA"/>
    <w:rsid w:val="00EA6754"/>
    <w:rsid w:val="00EA67DA"/>
    <w:rsid w:val="00EA69E1"/>
    <w:rsid w:val="00EA75BF"/>
    <w:rsid w:val="00EA77DD"/>
    <w:rsid w:val="00EA79FA"/>
    <w:rsid w:val="00EA7B0C"/>
    <w:rsid w:val="00EA7BBB"/>
    <w:rsid w:val="00EA7C22"/>
    <w:rsid w:val="00EA7C95"/>
    <w:rsid w:val="00EA7CB3"/>
    <w:rsid w:val="00EA7EBF"/>
    <w:rsid w:val="00EB0277"/>
    <w:rsid w:val="00EB027E"/>
    <w:rsid w:val="00EB03C1"/>
    <w:rsid w:val="00EB04A0"/>
    <w:rsid w:val="00EB06AF"/>
    <w:rsid w:val="00EB0930"/>
    <w:rsid w:val="00EB0AFA"/>
    <w:rsid w:val="00EB1017"/>
    <w:rsid w:val="00EB1050"/>
    <w:rsid w:val="00EB1174"/>
    <w:rsid w:val="00EB1289"/>
    <w:rsid w:val="00EB12C0"/>
    <w:rsid w:val="00EB12FE"/>
    <w:rsid w:val="00EB152B"/>
    <w:rsid w:val="00EB155A"/>
    <w:rsid w:val="00EB16C6"/>
    <w:rsid w:val="00EB1DD3"/>
    <w:rsid w:val="00EB1DD5"/>
    <w:rsid w:val="00EB1DFC"/>
    <w:rsid w:val="00EB201F"/>
    <w:rsid w:val="00EB2056"/>
    <w:rsid w:val="00EB24C7"/>
    <w:rsid w:val="00EB2564"/>
    <w:rsid w:val="00EB2792"/>
    <w:rsid w:val="00EB27DA"/>
    <w:rsid w:val="00EB29B3"/>
    <w:rsid w:val="00EB2CA9"/>
    <w:rsid w:val="00EB2DFF"/>
    <w:rsid w:val="00EB2FA2"/>
    <w:rsid w:val="00EB3082"/>
    <w:rsid w:val="00EB30C1"/>
    <w:rsid w:val="00EB3159"/>
    <w:rsid w:val="00EB323A"/>
    <w:rsid w:val="00EB3275"/>
    <w:rsid w:val="00EB3640"/>
    <w:rsid w:val="00EB3870"/>
    <w:rsid w:val="00EB3A09"/>
    <w:rsid w:val="00EB3CC6"/>
    <w:rsid w:val="00EB3D96"/>
    <w:rsid w:val="00EB3EA7"/>
    <w:rsid w:val="00EB3F14"/>
    <w:rsid w:val="00EB3F64"/>
    <w:rsid w:val="00EB4421"/>
    <w:rsid w:val="00EB45FF"/>
    <w:rsid w:val="00EB4663"/>
    <w:rsid w:val="00EB49A7"/>
    <w:rsid w:val="00EB4EBB"/>
    <w:rsid w:val="00EB5088"/>
    <w:rsid w:val="00EB531D"/>
    <w:rsid w:val="00EB55E5"/>
    <w:rsid w:val="00EB5832"/>
    <w:rsid w:val="00EB5886"/>
    <w:rsid w:val="00EB5B9D"/>
    <w:rsid w:val="00EB5E64"/>
    <w:rsid w:val="00EB6141"/>
    <w:rsid w:val="00EB6306"/>
    <w:rsid w:val="00EB63F3"/>
    <w:rsid w:val="00EB680B"/>
    <w:rsid w:val="00EB6AC1"/>
    <w:rsid w:val="00EB6B3F"/>
    <w:rsid w:val="00EB6BCA"/>
    <w:rsid w:val="00EB6DE5"/>
    <w:rsid w:val="00EB6FB3"/>
    <w:rsid w:val="00EB755F"/>
    <w:rsid w:val="00EB7585"/>
    <w:rsid w:val="00EB75F3"/>
    <w:rsid w:val="00EB7773"/>
    <w:rsid w:val="00EB79AE"/>
    <w:rsid w:val="00EB7F2B"/>
    <w:rsid w:val="00EB7FFB"/>
    <w:rsid w:val="00EC01A0"/>
    <w:rsid w:val="00EC044C"/>
    <w:rsid w:val="00EC0768"/>
    <w:rsid w:val="00EC0B7D"/>
    <w:rsid w:val="00EC0C18"/>
    <w:rsid w:val="00EC0DB9"/>
    <w:rsid w:val="00EC12F7"/>
    <w:rsid w:val="00EC1608"/>
    <w:rsid w:val="00EC1BC1"/>
    <w:rsid w:val="00EC1C5F"/>
    <w:rsid w:val="00EC210C"/>
    <w:rsid w:val="00EC2A32"/>
    <w:rsid w:val="00EC2ADD"/>
    <w:rsid w:val="00EC2C4C"/>
    <w:rsid w:val="00EC2DA8"/>
    <w:rsid w:val="00EC2F6F"/>
    <w:rsid w:val="00EC30A3"/>
    <w:rsid w:val="00EC3159"/>
    <w:rsid w:val="00EC32DA"/>
    <w:rsid w:val="00EC35FD"/>
    <w:rsid w:val="00EC39C4"/>
    <w:rsid w:val="00EC3F65"/>
    <w:rsid w:val="00EC3F86"/>
    <w:rsid w:val="00EC4023"/>
    <w:rsid w:val="00EC4064"/>
    <w:rsid w:val="00EC4705"/>
    <w:rsid w:val="00EC479A"/>
    <w:rsid w:val="00EC48EF"/>
    <w:rsid w:val="00EC4C10"/>
    <w:rsid w:val="00EC4C4B"/>
    <w:rsid w:val="00EC4F94"/>
    <w:rsid w:val="00EC5285"/>
    <w:rsid w:val="00EC5438"/>
    <w:rsid w:val="00EC5916"/>
    <w:rsid w:val="00EC5D4E"/>
    <w:rsid w:val="00EC6095"/>
    <w:rsid w:val="00EC60BE"/>
    <w:rsid w:val="00EC6118"/>
    <w:rsid w:val="00EC65C4"/>
    <w:rsid w:val="00EC6C19"/>
    <w:rsid w:val="00EC6FEC"/>
    <w:rsid w:val="00EC7218"/>
    <w:rsid w:val="00EC7339"/>
    <w:rsid w:val="00EC741E"/>
    <w:rsid w:val="00EC771F"/>
    <w:rsid w:val="00EC78E7"/>
    <w:rsid w:val="00EC7A1D"/>
    <w:rsid w:val="00EC7B7D"/>
    <w:rsid w:val="00ED0111"/>
    <w:rsid w:val="00ED0117"/>
    <w:rsid w:val="00ED0240"/>
    <w:rsid w:val="00ED035D"/>
    <w:rsid w:val="00ED0463"/>
    <w:rsid w:val="00ED05C9"/>
    <w:rsid w:val="00ED0B99"/>
    <w:rsid w:val="00ED0DF7"/>
    <w:rsid w:val="00ED14A2"/>
    <w:rsid w:val="00ED154A"/>
    <w:rsid w:val="00ED17B5"/>
    <w:rsid w:val="00ED1E00"/>
    <w:rsid w:val="00ED1E88"/>
    <w:rsid w:val="00ED24EB"/>
    <w:rsid w:val="00ED2805"/>
    <w:rsid w:val="00ED2841"/>
    <w:rsid w:val="00ED2A00"/>
    <w:rsid w:val="00ED2C5F"/>
    <w:rsid w:val="00ED2D5E"/>
    <w:rsid w:val="00ED3276"/>
    <w:rsid w:val="00ED351E"/>
    <w:rsid w:val="00ED37B6"/>
    <w:rsid w:val="00ED3F6C"/>
    <w:rsid w:val="00ED4094"/>
    <w:rsid w:val="00ED4435"/>
    <w:rsid w:val="00ED4617"/>
    <w:rsid w:val="00ED4851"/>
    <w:rsid w:val="00ED48B1"/>
    <w:rsid w:val="00ED4B29"/>
    <w:rsid w:val="00ED4C73"/>
    <w:rsid w:val="00ED4FB1"/>
    <w:rsid w:val="00ED5503"/>
    <w:rsid w:val="00ED5A8F"/>
    <w:rsid w:val="00ED5E57"/>
    <w:rsid w:val="00ED63F6"/>
    <w:rsid w:val="00ED6F5E"/>
    <w:rsid w:val="00ED7291"/>
    <w:rsid w:val="00ED74EB"/>
    <w:rsid w:val="00ED760C"/>
    <w:rsid w:val="00ED7AB3"/>
    <w:rsid w:val="00ED7B88"/>
    <w:rsid w:val="00ED7DE3"/>
    <w:rsid w:val="00EE017A"/>
    <w:rsid w:val="00EE0562"/>
    <w:rsid w:val="00EE05B8"/>
    <w:rsid w:val="00EE095D"/>
    <w:rsid w:val="00EE0A94"/>
    <w:rsid w:val="00EE0B2B"/>
    <w:rsid w:val="00EE0DAB"/>
    <w:rsid w:val="00EE0EB0"/>
    <w:rsid w:val="00EE0FC4"/>
    <w:rsid w:val="00EE1019"/>
    <w:rsid w:val="00EE123C"/>
    <w:rsid w:val="00EE1B08"/>
    <w:rsid w:val="00EE1B20"/>
    <w:rsid w:val="00EE1B8A"/>
    <w:rsid w:val="00EE267E"/>
    <w:rsid w:val="00EE2A2C"/>
    <w:rsid w:val="00EE2AC3"/>
    <w:rsid w:val="00EE2B9D"/>
    <w:rsid w:val="00EE2C5A"/>
    <w:rsid w:val="00EE2D1C"/>
    <w:rsid w:val="00EE2EB3"/>
    <w:rsid w:val="00EE2FDA"/>
    <w:rsid w:val="00EE3107"/>
    <w:rsid w:val="00EE361D"/>
    <w:rsid w:val="00EE379A"/>
    <w:rsid w:val="00EE37AD"/>
    <w:rsid w:val="00EE3F25"/>
    <w:rsid w:val="00EE4280"/>
    <w:rsid w:val="00EE449A"/>
    <w:rsid w:val="00EE45B2"/>
    <w:rsid w:val="00EE48D3"/>
    <w:rsid w:val="00EE4C96"/>
    <w:rsid w:val="00EE4EB1"/>
    <w:rsid w:val="00EE5356"/>
    <w:rsid w:val="00EE5562"/>
    <w:rsid w:val="00EE55E2"/>
    <w:rsid w:val="00EE60C6"/>
    <w:rsid w:val="00EE6201"/>
    <w:rsid w:val="00EE67A5"/>
    <w:rsid w:val="00EE6F98"/>
    <w:rsid w:val="00EE7219"/>
    <w:rsid w:val="00EE7464"/>
    <w:rsid w:val="00EE7947"/>
    <w:rsid w:val="00EE7A80"/>
    <w:rsid w:val="00EE7E2D"/>
    <w:rsid w:val="00EF07E8"/>
    <w:rsid w:val="00EF0831"/>
    <w:rsid w:val="00EF0CA6"/>
    <w:rsid w:val="00EF0E5B"/>
    <w:rsid w:val="00EF0F76"/>
    <w:rsid w:val="00EF10EE"/>
    <w:rsid w:val="00EF11AA"/>
    <w:rsid w:val="00EF1924"/>
    <w:rsid w:val="00EF1D8B"/>
    <w:rsid w:val="00EF1F2E"/>
    <w:rsid w:val="00EF1F58"/>
    <w:rsid w:val="00EF2244"/>
    <w:rsid w:val="00EF2365"/>
    <w:rsid w:val="00EF252C"/>
    <w:rsid w:val="00EF253F"/>
    <w:rsid w:val="00EF28DA"/>
    <w:rsid w:val="00EF2B2A"/>
    <w:rsid w:val="00EF2F37"/>
    <w:rsid w:val="00EF3084"/>
    <w:rsid w:val="00EF32FE"/>
    <w:rsid w:val="00EF33A7"/>
    <w:rsid w:val="00EF33CB"/>
    <w:rsid w:val="00EF3405"/>
    <w:rsid w:val="00EF343E"/>
    <w:rsid w:val="00EF3981"/>
    <w:rsid w:val="00EF3B34"/>
    <w:rsid w:val="00EF3CC3"/>
    <w:rsid w:val="00EF3FDC"/>
    <w:rsid w:val="00EF40E6"/>
    <w:rsid w:val="00EF41A4"/>
    <w:rsid w:val="00EF4563"/>
    <w:rsid w:val="00EF45C6"/>
    <w:rsid w:val="00EF4693"/>
    <w:rsid w:val="00EF4830"/>
    <w:rsid w:val="00EF4A55"/>
    <w:rsid w:val="00EF4AA9"/>
    <w:rsid w:val="00EF4C2D"/>
    <w:rsid w:val="00EF50FA"/>
    <w:rsid w:val="00EF519E"/>
    <w:rsid w:val="00EF51FB"/>
    <w:rsid w:val="00EF59D3"/>
    <w:rsid w:val="00EF5B57"/>
    <w:rsid w:val="00EF5E10"/>
    <w:rsid w:val="00EF6014"/>
    <w:rsid w:val="00EF64BB"/>
    <w:rsid w:val="00EF64C6"/>
    <w:rsid w:val="00EF64ED"/>
    <w:rsid w:val="00EF6614"/>
    <w:rsid w:val="00EF6A79"/>
    <w:rsid w:val="00EF6CD3"/>
    <w:rsid w:val="00EF6D4D"/>
    <w:rsid w:val="00EF6EA3"/>
    <w:rsid w:val="00EF6FED"/>
    <w:rsid w:val="00EF74EB"/>
    <w:rsid w:val="00EF7A0A"/>
    <w:rsid w:val="00EF7A81"/>
    <w:rsid w:val="00EF7C21"/>
    <w:rsid w:val="00EF7D92"/>
    <w:rsid w:val="00EF7E89"/>
    <w:rsid w:val="00EF7FD5"/>
    <w:rsid w:val="00EF7FE3"/>
    <w:rsid w:val="00F000DC"/>
    <w:rsid w:val="00F003A5"/>
    <w:rsid w:val="00F003ED"/>
    <w:rsid w:val="00F007A3"/>
    <w:rsid w:val="00F00B41"/>
    <w:rsid w:val="00F00C2D"/>
    <w:rsid w:val="00F00C74"/>
    <w:rsid w:val="00F00C99"/>
    <w:rsid w:val="00F00D1B"/>
    <w:rsid w:val="00F00E29"/>
    <w:rsid w:val="00F00F5A"/>
    <w:rsid w:val="00F01015"/>
    <w:rsid w:val="00F01129"/>
    <w:rsid w:val="00F0128D"/>
    <w:rsid w:val="00F0129C"/>
    <w:rsid w:val="00F014F7"/>
    <w:rsid w:val="00F019EC"/>
    <w:rsid w:val="00F01BCE"/>
    <w:rsid w:val="00F01CBA"/>
    <w:rsid w:val="00F01DB0"/>
    <w:rsid w:val="00F01FCD"/>
    <w:rsid w:val="00F0221D"/>
    <w:rsid w:val="00F02377"/>
    <w:rsid w:val="00F0240E"/>
    <w:rsid w:val="00F02592"/>
    <w:rsid w:val="00F02726"/>
    <w:rsid w:val="00F028C6"/>
    <w:rsid w:val="00F02C4C"/>
    <w:rsid w:val="00F032BF"/>
    <w:rsid w:val="00F039B5"/>
    <w:rsid w:val="00F03B8C"/>
    <w:rsid w:val="00F03C4B"/>
    <w:rsid w:val="00F04324"/>
    <w:rsid w:val="00F0494C"/>
    <w:rsid w:val="00F04A56"/>
    <w:rsid w:val="00F04C69"/>
    <w:rsid w:val="00F04C94"/>
    <w:rsid w:val="00F04CE6"/>
    <w:rsid w:val="00F04DDF"/>
    <w:rsid w:val="00F04E30"/>
    <w:rsid w:val="00F052F8"/>
    <w:rsid w:val="00F05730"/>
    <w:rsid w:val="00F058C3"/>
    <w:rsid w:val="00F05A87"/>
    <w:rsid w:val="00F06134"/>
    <w:rsid w:val="00F061DD"/>
    <w:rsid w:val="00F062EE"/>
    <w:rsid w:val="00F06773"/>
    <w:rsid w:val="00F06A19"/>
    <w:rsid w:val="00F06C85"/>
    <w:rsid w:val="00F06D20"/>
    <w:rsid w:val="00F06DED"/>
    <w:rsid w:val="00F06E29"/>
    <w:rsid w:val="00F06FBD"/>
    <w:rsid w:val="00F07183"/>
    <w:rsid w:val="00F07220"/>
    <w:rsid w:val="00F072BB"/>
    <w:rsid w:val="00F07321"/>
    <w:rsid w:val="00F07C7C"/>
    <w:rsid w:val="00F10275"/>
    <w:rsid w:val="00F1048C"/>
    <w:rsid w:val="00F104AE"/>
    <w:rsid w:val="00F106BB"/>
    <w:rsid w:val="00F10AB4"/>
    <w:rsid w:val="00F10C37"/>
    <w:rsid w:val="00F10E0A"/>
    <w:rsid w:val="00F1102C"/>
    <w:rsid w:val="00F110CC"/>
    <w:rsid w:val="00F111C3"/>
    <w:rsid w:val="00F11AB2"/>
    <w:rsid w:val="00F11ECA"/>
    <w:rsid w:val="00F11F53"/>
    <w:rsid w:val="00F1201D"/>
    <w:rsid w:val="00F12183"/>
    <w:rsid w:val="00F12327"/>
    <w:rsid w:val="00F123E1"/>
    <w:rsid w:val="00F128C3"/>
    <w:rsid w:val="00F129B6"/>
    <w:rsid w:val="00F12CCA"/>
    <w:rsid w:val="00F12D58"/>
    <w:rsid w:val="00F12F41"/>
    <w:rsid w:val="00F12F9C"/>
    <w:rsid w:val="00F135B8"/>
    <w:rsid w:val="00F13C5D"/>
    <w:rsid w:val="00F140A2"/>
    <w:rsid w:val="00F14421"/>
    <w:rsid w:val="00F14A0C"/>
    <w:rsid w:val="00F14A99"/>
    <w:rsid w:val="00F14BCE"/>
    <w:rsid w:val="00F14BE2"/>
    <w:rsid w:val="00F15455"/>
    <w:rsid w:val="00F1585D"/>
    <w:rsid w:val="00F15A72"/>
    <w:rsid w:val="00F15B0E"/>
    <w:rsid w:val="00F16080"/>
    <w:rsid w:val="00F16270"/>
    <w:rsid w:val="00F16350"/>
    <w:rsid w:val="00F163BB"/>
    <w:rsid w:val="00F169F8"/>
    <w:rsid w:val="00F16B35"/>
    <w:rsid w:val="00F16C57"/>
    <w:rsid w:val="00F173AC"/>
    <w:rsid w:val="00F176FC"/>
    <w:rsid w:val="00F17951"/>
    <w:rsid w:val="00F17C9C"/>
    <w:rsid w:val="00F17FE8"/>
    <w:rsid w:val="00F202F4"/>
    <w:rsid w:val="00F20722"/>
    <w:rsid w:val="00F20816"/>
    <w:rsid w:val="00F20A14"/>
    <w:rsid w:val="00F21358"/>
    <w:rsid w:val="00F213A3"/>
    <w:rsid w:val="00F218EC"/>
    <w:rsid w:val="00F218FB"/>
    <w:rsid w:val="00F21ABA"/>
    <w:rsid w:val="00F21BA4"/>
    <w:rsid w:val="00F21F93"/>
    <w:rsid w:val="00F22036"/>
    <w:rsid w:val="00F2233D"/>
    <w:rsid w:val="00F22462"/>
    <w:rsid w:val="00F224C9"/>
    <w:rsid w:val="00F224EC"/>
    <w:rsid w:val="00F22D14"/>
    <w:rsid w:val="00F2335C"/>
    <w:rsid w:val="00F23E25"/>
    <w:rsid w:val="00F23E7D"/>
    <w:rsid w:val="00F24071"/>
    <w:rsid w:val="00F240CC"/>
    <w:rsid w:val="00F24241"/>
    <w:rsid w:val="00F243A1"/>
    <w:rsid w:val="00F244F7"/>
    <w:rsid w:val="00F24BE7"/>
    <w:rsid w:val="00F24FD8"/>
    <w:rsid w:val="00F24FFE"/>
    <w:rsid w:val="00F251CF"/>
    <w:rsid w:val="00F252B9"/>
    <w:rsid w:val="00F25302"/>
    <w:rsid w:val="00F2543E"/>
    <w:rsid w:val="00F256D4"/>
    <w:rsid w:val="00F256E8"/>
    <w:rsid w:val="00F257F4"/>
    <w:rsid w:val="00F258C1"/>
    <w:rsid w:val="00F259EE"/>
    <w:rsid w:val="00F25A61"/>
    <w:rsid w:val="00F26331"/>
    <w:rsid w:val="00F26543"/>
    <w:rsid w:val="00F26609"/>
    <w:rsid w:val="00F2674C"/>
    <w:rsid w:val="00F26C21"/>
    <w:rsid w:val="00F273DB"/>
    <w:rsid w:val="00F27644"/>
    <w:rsid w:val="00F2779F"/>
    <w:rsid w:val="00F27A4D"/>
    <w:rsid w:val="00F27B2C"/>
    <w:rsid w:val="00F27BD6"/>
    <w:rsid w:val="00F27F14"/>
    <w:rsid w:val="00F30006"/>
    <w:rsid w:val="00F300DC"/>
    <w:rsid w:val="00F30384"/>
    <w:rsid w:val="00F30729"/>
    <w:rsid w:val="00F30951"/>
    <w:rsid w:val="00F30A8C"/>
    <w:rsid w:val="00F30B99"/>
    <w:rsid w:val="00F30D2B"/>
    <w:rsid w:val="00F30D88"/>
    <w:rsid w:val="00F30DA9"/>
    <w:rsid w:val="00F30FCD"/>
    <w:rsid w:val="00F31318"/>
    <w:rsid w:val="00F314A7"/>
    <w:rsid w:val="00F31B5C"/>
    <w:rsid w:val="00F31CAA"/>
    <w:rsid w:val="00F32057"/>
    <w:rsid w:val="00F32596"/>
    <w:rsid w:val="00F32619"/>
    <w:rsid w:val="00F32753"/>
    <w:rsid w:val="00F32B65"/>
    <w:rsid w:val="00F32C3E"/>
    <w:rsid w:val="00F32DC6"/>
    <w:rsid w:val="00F32EF1"/>
    <w:rsid w:val="00F330D0"/>
    <w:rsid w:val="00F3312B"/>
    <w:rsid w:val="00F332F5"/>
    <w:rsid w:val="00F3330D"/>
    <w:rsid w:val="00F33800"/>
    <w:rsid w:val="00F33AA6"/>
    <w:rsid w:val="00F33E46"/>
    <w:rsid w:val="00F34068"/>
    <w:rsid w:val="00F340D3"/>
    <w:rsid w:val="00F34578"/>
    <w:rsid w:val="00F34748"/>
    <w:rsid w:val="00F348E9"/>
    <w:rsid w:val="00F34A11"/>
    <w:rsid w:val="00F34B0A"/>
    <w:rsid w:val="00F3510A"/>
    <w:rsid w:val="00F351CC"/>
    <w:rsid w:val="00F3549A"/>
    <w:rsid w:val="00F35A98"/>
    <w:rsid w:val="00F35CE9"/>
    <w:rsid w:val="00F35F54"/>
    <w:rsid w:val="00F36B65"/>
    <w:rsid w:val="00F37482"/>
    <w:rsid w:val="00F37702"/>
    <w:rsid w:val="00F37860"/>
    <w:rsid w:val="00F37B1B"/>
    <w:rsid w:val="00F37C30"/>
    <w:rsid w:val="00F40158"/>
    <w:rsid w:val="00F402EA"/>
    <w:rsid w:val="00F40359"/>
    <w:rsid w:val="00F404E6"/>
    <w:rsid w:val="00F40C00"/>
    <w:rsid w:val="00F40DC8"/>
    <w:rsid w:val="00F40E04"/>
    <w:rsid w:val="00F40FD1"/>
    <w:rsid w:val="00F41309"/>
    <w:rsid w:val="00F414C5"/>
    <w:rsid w:val="00F420D5"/>
    <w:rsid w:val="00F422AB"/>
    <w:rsid w:val="00F422E9"/>
    <w:rsid w:val="00F42420"/>
    <w:rsid w:val="00F42809"/>
    <w:rsid w:val="00F42AD7"/>
    <w:rsid w:val="00F43022"/>
    <w:rsid w:val="00F43137"/>
    <w:rsid w:val="00F434AC"/>
    <w:rsid w:val="00F434ED"/>
    <w:rsid w:val="00F436E6"/>
    <w:rsid w:val="00F437AF"/>
    <w:rsid w:val="00F437E0"/>
    <w:rsid w:val="00F43994"/>
    <w:rsid w:val="00F43A1B"/>
    <w:rsid w:val="00F43BF8"/>
    <w:rsid w:val="00F44275"/>
    <w:rsid w:val="00F4457B"/>
    <w:rsid w:val="00F44C26"/>
    <w:rsid w:val="00F4507C"/>
    <w:rsid w:val="00F4511A"/>
    <w:rsid w:val="00F4548A"/>
    <w:rsid w:val="00F454C7"/>
    <w:rsid w:val="00F45669"/>
    <w:rsid w:val="00F4592D"/>
    <w:rsid w:val="00F4598C"/>
    <w:rsid w:val="00F45A9E"/>
    <w:rsid w:val="00F45D93"/>
    <w:rsid w:val="00F45F87"/>
    <w:rsid w:val="00F46024"/>
    <w:rsid w:val="00F46081"/>
    <w:rsid w:val="00F464B5"/>
    <w:rsid w:val="00F4672F"/>
    <w:rsid w:val="00F46877"/>
    <w:rsid w:val="00F46ADA"/>
    <w:rsid w:val="00F46B52"/>
    <w:rsid w:val="00F46B65"/>
    <w:rsid w:val="00F47049"/>
    <w:rsid w:val="00F4729A"/>
    <w:rsid w:val="00F472CA"/>
    <w:rsid w:val="00F47425"/>
    <w:rsid w:val="00F4774A"/>
    <w:rsid w:val="00F477BD"/>
    <w:rsid w:val="00F47A48"/>
    <w:rsid w:val="00F47BCB"/>
    <w:rsid w:val="00F47E16"/>
    <w:rsid w:val="00F47F37"/>
    <w:rsid w:val="00F5004D"/>
    <w:rsid w:val="00F500E8"/>
    <w:rsid w:val="00F5016D"/>
    <w:rsid w:val="00F5016E"/>
    <w:rsid w:val="00F501DB"/>
    <w:rsid w:val="00F5022C"/>
    <w:rsid w:val="00F50312"/>
    <w:rsid w:val="00F505DD"/>
    <w:rsid w:val="00F508DC"/>
    <w:rsid w:val="00F50A62"/>
    <w:rsid w:val="00F50A77"/>
    <w:rsid w:val="00F50B3E"/>
    <w:rsid w:val="00F50EF4"/>
    <w:rsid w:val="00F51046"/>
    <w:rsid w:val="00F510A2"/>
    <w:rsid w:val="00F51334"/>
    <w:rsid w:val="00F5139C"/>
    <w:rsid w:val="00F513CB"/>
    <w:rsid w:val="00F514D9"/>
    <w:rsid w:val="00F51549"/>
    <w:rsid w:val="00F51728"/>
    <w:rsid w:val="00F5190F"/>
    <w:rsid w:val="00F51A35"/>
    <w:rsid w:val="00F51DA3"/>
    <w:rsid w:val="00F51E66"/>
    <w:rsid w:val="00F52028"/>
    <w:rsid w:val="00F520FF"/>
    <w:rsid w:val="00F52C31"/>
    <w:rsid w:val="00F52E1F"/>
    <w:rsid w:val="00F52E38"/>
    <w:rsid w:val="00F52F0A"/>
    <w:rsid w:val="00F53086"/>
    <w:rsid w:val="00F530BD"/>
    <w:rsid w:val="00F530FA"/>
    <w:rsid w:val="00F53A38"/>
    <w:rsid w:val="00F53B7E"/>
    <w:rsid w:val="00F53C3F"/>
    <w:rsid w:val="00F53C95"/>
    <w:rsid w:val="00F53CED"/>
    <w:rsid w:val="00F53D3E"/>
    <w:rsid w:val="00F53D80"/>
    <w:rsid w:val="00F53D89"/>
    <w:rsid w:val="00F5424F"/>
    <w:rsid w:val="00F543B0"/>
    <w:rsid w:val="00F54531"/>
    <w:rsid w:val="00F545ED"/>
    <w:rsid w:val="00F547BB"/>
    <w:rsid w:val="00F548A5"/>
    <w:rsid w:val="00F54912"/>
    <w:rsid w:val="00F54A59"/>
    <w:rsid w:val="00F54ACC"/>
    <w:rsid w:val="00F54CD8"/>
    <w:rsid w:val="00F54CE6"/>
    <w:rsid w:val="00F54D30"/>
    <w:rsid w:val="00F54ED3"/>
    <w:rsid w:val="00F5524B"/>
    <w:rsid w:val="00F55525"/>
    <w:rsid w:val="00F5587B"/>
    <w:rsid w:val="00F559C5"/>
    <w:rsid w:val="00F55AEB"/>
    <w:rsid w:val="00F55F61"/>
    <w:rsid w:val="00F55FED"/>
    <w:rsid w:val="00F563EA"/>
    <w:rsid w:val="00F565F0"/>
    <w:rsid w:val="00F56897"/>
    <w:rsid w:val="00F56BE3"/>
    <w:rsid w:val="00F56D18"/>
    <w:rsid w:val="00F56DDF"/>
    <w:rsid w:val="00F570F3"/>
    <w:rsid w:val="00F57285"/>
    <w:rsid w:val="00F573CA"/>
    <w:rsid w:val="00F575DE"/>
    <w:rsid w:val="00F5773B"/>
    <w:rsid w:val="00F578C8"/>
    <w:rsid w:val="00F57AAD"/>
    <w:rsid w:val="00F57D66"/>
    <w:rsid w:val="00F57EE7"/>
    <w:rsid w:val="00F60067"/>
    <w:rsid w:val="00F60069"/>
    <w:rsid w:val="00F6024A"/>
    <w:rsid w:val="00F60256"/>
    <w:rsid w:val="00F60350"/>
    <w:rsid w:val="00F603E4"/>
    <w:rsid w:val="00F60797"/>
    <w:rsid w:val="00F60B42"/>
    <w:rsid w:val="00F60B66"/>
    <w:rsid w:val="00F60C25"/>
    <w:rsid w:val="00F60F6C"/>
    <w:rsid w:val="00F613B1"/>
    <w:rsid w:val="00F613C4"/>
    <w:rsid w:val="00F6150C"/>
    <w:rsid w:val="00F61525"/>
    <w:rsid w:val="00F615F9"/>
    <w:rsid w:val="00F61C24"/>
    <w:rsid w:val="00F61C76"/>
    <w:rsid w:val="00F61D96"/>
    <w:rsid w:val="00F62290"/>
    <w:rsid w:val="00F628CF"/>
    <w:rsid w:val="00F62D7A"/>
    <w:rsid w:val="00F6302C"/>
    <w:rsid w:val="00F631E5"/>
    <w:rsid w:val="00F63221"/>
    <w:rsid w:val="00F6338D"/>
    <w:rsid w:val="00F6347F"/>
    <w:rsid w:val="00F634D7"/>
    <w:rsid w:val="00F636BF"/>
    <w:rsid w:val="00F6387F"/>
    <w:rsid w:val="00F641AA"/>
    <w:rsid w:val="00F6447A"/>
    <w:rsid w:val="00F644C2"/>
    <w:rsid w:val="00F64596"/>
    <w:rsid w:val="00F645DE"/>
    <w:rsid w:val="00F6463E"/>
    <w:rsid w:val="00F64642"/>
    <w:rsid w:val="00F6465E"/>
    <w:rsid w:val="00F646A1"/>
    <w:rsid w:val="00F6499B"/>
    <w:rsid w:val="00F649FD"/>
    <w:rsid w:val="00F64A12"/>
    <w:rsid w:val="00F64A80"/>
    <w:rsid w:val="00F64AC5"/>
    <w:rsid w:val="00F64F5B"/>
    <w:rsid w:val="00F653DC"/>
    <w:rsid w:val="00F65617"/>
    <w:rsid w:val="00F65B3E"/>
    <w:rsid w:val="00F65F18"/>
    <w:rsid w:val="00F660B5"/>
    <w:rsid w:val="00F663BD"/>
    <w:rsid w:val="00F663DF"/>
    <w:rsid w:val="00F667B8"/>
    <w:rsid w:val="00F66857"/>
    <w:rsid w:val="00F669A3"/>
    <w:rsid w:val="00F66ACE"/>
    <w:rsid w:val="00F66C26"/>
    <w:rsid w:val="00F66DB4"/>
    <w:rsid w:val="00F66DE9"/>
    <w:rsid w:val="00F66DEA"/>
    <w:rsid w:val="00F66EB0"/>
    <w:rsid w:val="00F670D5"/>
    <w:rsid w:val="00F67484"/>
    <w:rsid w:val="00F6757D"/>
    <w:rsid w:val="00F67828"/>
    <w:rsid w:val="00F67C5D"/>
    <w:rsid w:val="00F70117"/>
    <w:rsid w:val="00F70196"/>
    <w:rsid w:val="00F7048F"/>
    <w:rsid w:val="00F7058F"/>
    <w:rsid w:val="00F70657"/>
    <w:rsid w:val="00F706DE"/>
    <w:rsid w:val="00F70F9F"/>
    <w:rsid w:val="00F7100F"/>
    <w:rsid w:val="00F71491"/>
    <w:rsid w:val="00F7198C"/>
    <w:rsid w:val="00F71B7E"/>
    <w:rsid w:val="00F71FAB"/>
    <w:rsid w:val="00F72011"/>
    <w:rsid w:val="00F72043"/>
    <w:rsid w:val="00F720A3"/>
    <w:rsid w:val="00F72655"/>
    <w:rsid w:val="00F72D86"/>
    <w:rsid w:val="00F731D3"/>
    <w:rsid w:val="00F73332"/>
    <w:rsid w:val="00F73356"/>
    <w:rsid w:val="00F73396"/>
    <w:rsid w:val="00F735E3"/>
    <w:rsid w:val="00F7386E"/>
    <w:rsid w:val="00F7393D"/>
    <w:rsid w:val="00F73A70"/>
    <w:rsid w:val="00F73C9B"/>
    <w:rsid w:val="00F7425C"/>
    <w:rsid w:val="00F745D9"/>
    <w:rsid w:val="00F74CB9"/>
    <w:rsid w:val="00F74D80"/>
    <w:rsid w:val="00F74FB8"/>
    <w:rsid w:val="00F7514A"/>
    <w:rsid w:val="00F751CE"/>
    <w:rsid w:val="00F7543B"/>
    <w:rsid w:val="00F7544D"/>
    <w:rsid w:val="00F756E6"/>
    <w:rsid w:val="00F7572E"/>
    <w:rsid w:val="00F75B98"/>
    <w:rsid w:val="00F75C37"/>
    <w:rsid w:val="00F75C91"/>
    <w:rsid w:val="00F75CF4"/>
    <w:rsid w:val="00F764F4"/>
    <w:rsid w:val="00F76510"/>
    <w:rsid w:val="00F76984"/>
    <w:rsid w:val="00F76D46"/>
    <w:rsid w:val="00F76D6D"/>
    <w:rsid w:val="00F770BF"/>
    <w:rsid w:val="00F7798A"/>
    <w:rsid w:val="00F779B5"/>
    <w:rsid w:val="00F77A51"/>
    <w:rsid w:val="00F77A62"/>
    <w:rsid w:val="00F77B5C"/>
    <w:rsid w:val="00F77E15"/>
    <w:rsid w:val="00F77F24"/>
    <w:rsid w:val="00F8017A"/>
    <w:rsid w:val="00F80516"/>
    <w:rsid w:val="00F80970"/>
    <w:rsid w:val="00F8098B"/>
    <w:rsid w:val="00F80EA4"/>
    <w:rsid w:val="00F80EFC"/>
    <w:rsid w:val="00F810B1"/>
    <w:rsid w:val="00F8178D"/>
    <w:rsid w:val="00F818A6"/>
    <w:rsid w:val="00F819BC"/>
    <w:rsid w:val="00F81AB0"/>
    <w:rsid w:val="00F81FFA"/>
    <w:rsid w:val="00F821DD"/>
    <w:rsid w:val="00F8256C"/>
    <w:rsid w:val="00F826BA"/>
    <w:rsid w:val="00F82D81"/>
    <w:rsid w:val="00F82F83"/>
    <w:rsid w:val="00F83616"/>
    <w:rsid w:val="00F83957"/>
    <w:rsid w:val="00F83E92"/>
    <w:rsid w:val="00F84396"/>
    <w:rsid w:val="00F8468B"/>
    <w:rsid w:val="00F847E4"/>
    <w:rsid w:val="00F8496E"/>
    <w:rsid w:val="00F84B0A"/>
    <w:rsid w:val="00F84F04"/>
    <w:rsid w:val="00F8501D"/>
    <w:rsid w:val="00F850E7"/>
    <w:rsid w:val="00F853B0"/>
    <w:rsid w:val="00F85658"/>
    <w:rsid w:val="00F85BB8"/>
    <w:rsid w:val="00F86248"/>
    <w:rsid w:val="00F86277"/>
    <w:rsid w:val="00F8641A"/>
    <w:rsid w:val="00F8677F"/>
    <w:rsid w:val="00F868AE"/>
    <w:rsid w:val="00F8725A"/>
    <w:rsid w:val="00F873B5"/>
    <w:rsid w:val="00F875C7"/>
    <w:rsid w:val="00F876E3"/>
    <w:rsid w:val="00F87A07"/>
    <w:rsid w:val="00F87D10"/>
    <w:rsid w:val="00F87EDF"/>
    <w:rsid w:val="00F900CE"/>
    <w:rsid w:val="00F90203"/>
    <w:rsid w:val="00F904F9"/>
    <w:rsid w:val="00F9052A"/>
    <w:rsid w:val="00F90574"/>
    <w:rsid w:val="00F9090B"/>
    <w:rsid w:val="00F911DA"/>
    <w:rsid w:val="00F91286"/>
    <w:rsid w:val="00F91465"/>
    <w:rsid w:val="00F914F1"/>
    <w:rsid w:val="00F91588"/>
    <w:rsid w:val="00F91A7E"/>
    <w:rsid w:val="00F91E47"/>
    <w:rsid w:val="00F91ED3"/>
    <w:rsid w:val="00F91FB9"/>
    <w:rsid w:val="00F9208B"/>
    <w:rsid w:val="00F9209B"/>
    <w:rsid w:val="00F9235F"/>
    <w:rsid w:val="00F92361"/>
    <w:rsid w:val="00F92406"/>
    <w:rsid w:val="00F924E5"/>
    <w:rsid w:val="00F927E7"/>
    <w:rsid w:val="00F92AEB"/>
    <w:rsid w:val="00F92DBB"/>
    <w:rsid w:val="00F9312B"/>
    <w:rsid w:val="00F9361F"/>
    <w:rsid w:val="00F937F0"/>
    <w:rsid w:val="00F93B42"/>
    <w:rsid w:val="00F93DC9"/>
    <w:rsid w:val="00F941CD"/>
    <w:rsid w:val="00F945FD"/>
    <w:rsid w:val="00F9470D"/>
    <w:rsid w:val="00F9492D"/>
    <w:rsid w:val="00F94ED8"/>
    <w:rsid w:val="00F94F24"/>
    <w:rsid w:val="00F95463"/>
    <w:rsid w:val="00F955F2"/>
    <w:rsid w:val="00F95B01"/>
    <w:rsid w:val="00F95B4E"/>
    <w:rsid w:val="00F95F39"/>
    <w:rsid w:val="00F961CF"/>
    <w:rsid w:val="00F9634C"/>
    <w:rsid w:val="00F96498"/>
    <w:rsid w:val="00F96BDC"/>
    <w:rsid w:val="00F972F2"/>
    <w:rsid w:val="00F97738"/>
    <w:rsid w:val="00F978B2"/>
    <w:rsid w:val="00F97978"/>
    <w:rsid w:val="00F97A44"/>
    <w:rsid w:val="00F97ACD"/>
    <w:rsid w:val="00F97B4B"/>
    <w:rsid w:val="00F97B7F"/>
    <w:rsid w:val="00F97B87"/>
    <w:rsid w:val="00F97DDA"/>
    <w:rsid w:val="00FA0325"/>
    <w:rsid w:val="00FA03A5"/>
    <w:rsid w:val="00FA0486"/>
    <w:rsid w:val="00FA053D"/>
    <w:rsid w:val="00FA05BA"/>
    <w:rsid w:val="00FA0680"/>
    <w:rsid w:val="00FA0B03"/>
    <w:rsid w:val="00FA0D63"/>
    <w:rsid w:val="00FA11B8"/>
    <w:rsid w:val="00FA12E6"/>
    <w:rsid w:val="00FA13F8"/>
    <w:rsid w:val="00FA18AE"/>
    <w:rsid w:val="00FA1A00"/>
    <w:rsid w:val="00FA1A83"/>
    <w:rsid w:val="00FA1E69"/>
    <w:rsid w:val="00FA20A6"/>
    <w:rsid w:val="00FA285C"/>
    <w:rsid w:val="00FA2B58"/>
    <w:rsid w:val="00FA3310"/>
    <w:rsid w:val="00FA3315"/>
    <w:rsid w:val="00FA3364"/>
    <w:rsid w:val="00FA3395"/>
    <w:rsid w:val="00FA3700"/>
    <w:rsid w:val="00FA3772"/>
    <w:rsid w:val="00FA3CA5"/>
    <w:rsid w:val="00FA3D99"/>
    <w:rsid w:val="00FA44A6"/>
    <w:rsid w:val="00FA46D2"/>
    <w:rsid w:val="00FA486F"/>
    <w:rsid w:val="00FA4905"/>
    <w:rsid w:val="00FA4ABB"/>
    <w:rsid w:val="00FA4AF1"/>
    <w:rsid w:val="00FA4BC2"/>
    <w:rsid w:val="00FA4CE2"/>
    <w:rsid w:val="00FA4FA5"/>
    <w:rsid w:val="00FA5130"/>
    <w:rsid w:val="00FA5662"/>
    <w:rsid w:val="00FA5B94"/>
    <w:rsid w:val="00FA5C2D"/>
    <w:rsid w:val="00FA5C50"/>
    <w:rsid w:val="00FA6182"/>
    <w:rsid w:val="00FA6387"/>
    <w:rsid w:val="00FA66B0"/>
    <w:rsid w:val="00FA676D"/>
    <w:rsid w:val="00FA6A70"/>
    <w:rsid w:val="00FA6AAC"/>
    <w:rsid w:val="00FA6B20"/>
    <w:rsid w:val="00FA6D91"/>
    <w:rsid w:val="00FA713C"/>
    <w:rsid w:val="00FA71F0"/>
    <w:rsid w:val="00FA727F"/>
    <w:rsid w:val="00FA7596"/>
    <w:rsid w:val="00FA7931"/>
    <w:rsid w:val="00FA7938"/>
    <w:rsid w:val="00FA7B4C"/>
    <w:rsid w:val="00FA7B78"/>
    <w:rsid w:val="00FA7EAA"/>
    <w:rsid w:val="00FA7FB0"/>
    <w:rsid w:val="00FA7FEE"/>
    <w:rsid w:val="00FB077C"/>
    <w:rsid w:val="00FB0A82"/>
    <w:rsid w:val="00FB0CE2"/>
    <w:rsid w:val="00FB0E52"/>
    <w:rsid w:val="00FB1282"/>
    <w:rsid w:val="00FB129B"/>
    <w:rsid w:val="00FB19FE"/>
    <w:rsid w:val="00FB1FCA"/>
    <w:rsid w:val="00FB270F"/>
    <w:rsid w:val="00FB2F87"/>
    <w:rsid w:val="00FB3122"/>
    <w:rsid w:val="00FB3228"/>
    <w:rsid w:val="00FB34D3"/>
    <w:rsid w:val="00FB364A"/>
    <w:rsid w:val="00FB3A6B"/>
    <w:rsid w:val="00FB3A79"/>
    <w:rsid w:val="00FB3E61"/>
    <w:rsid w:val="00FB3E9B"/>
    <w:rsid w:val="00FB3F43"/>
    <w:rsid w:val="00FB4238"/>
    <w:rsid w:val="00FB489F"/>
    <w:rsid w:val="00FB490F"/>
    <w:rsid w:val="00FB4929"/>
    <w:rsid w:val="00FB4A45"/>
    <w:rsid w:val="00FB4ADF"/>
    <w:rsid w:val="00FB4B1A"/>
    <w:rsid w:val="00FB4C6A"/>
    <w:rsid w:val="00FB511B"/>
    <w:rsid w:val="00FB54B4"/>
    <w:rsid w:val="00FB58A8"/>
    <w:rsid w:val="00FB5951"/>
    <w:rsid w:val="00FB5D16"/>
    <w:rsid w:val="00FB5ECD"/>
    <w:rsid w:val="00FB5F23"/>
    <w:rsid w:val="00FB5F9A"/>
    <w:rsid w:val="00FB6288"/>
    <w:rsid w:val="00FB62B4"/>
    <w:rsid w:val="00FB63C4"/>
    <w:rsid w:val="00FB666F"/>
    <w:rsid w:val="00FB66D0"/>
    <w:rsid w:val="00FB671D"/>
    <w:rsid w:val="00FB6753"/>
    <w:rsid w:val="00FB6844"/>
    <w:rsid w:val="00FB6866"/>
    <w:rsid w:val="00FB6988"/>
    <w:rsid w:val="00FB722D"/>
    <w:rsid w:val="00FB746B"/>
    <w:rsid w:val="00FB7E60"/>
    <w:rsid w:val="00FC007A"/>
    <w:rsid w:val="00FC03AD"/>
    <w:rsid w:val="00FC056A"/>
    <w:rsid w:val="00FC0A0D"/>
    <w:rsid w:val="00FC0DDC"/>
    <w:rsid w:val="00FC0E41"/>
    <w:rsid w:val="00FC0F18"/>
    <w:rsid w:val="00FC0F69"/>
    <w:rsid w:val="00FC1056"/>
    <w:rsid w:val="00FC11A6"/>
    <w:rsid w:val="00FC1499"/>
    <w:rsid w:val="00FC1A6B"/>
    <w:rsid w:val="00FC1C24"/>
    <w:rsid w:val="00FC1C2D"/>
    <w:rsid w:val="00FC1CF8"/>
    <w:rsid w:val="00FC2440"/>
    <w:rsid w:val="00FC25DF"/>
    <w:rsid w:val="00FC2813"/>
    <w:rsid w:val="00FC286D"/>
    <w:rsid w:val="00FC2985"/>
    <w:rsid w:val="00FC2AE2"/>
    <w:rsid w:val="00FC2C34"/>
    <w:rsid w:val="00FC2C3A"/>
    <w:rsid w:val="00FC2D05"/>
    <w:rsid w:val="00FC2E70"/>
    <w:rsid w:val="00FC33CF"/>
    <w:rsid w:val="00FC3AD4"/>
    <w:rsid w:val="00FC3B2A"/>
    <w:rsid w:val="00FC3C00"/>
    <w:rsid w:val="00FC3E05"/>
    <w:rsid w:val="00FC3E1B"/>
    <w:rsid w:val="00FC40B8"/>
    <w:rsid w:val="00FC40BB"/>
    <w:rsid w:val="00FC42FF"/>
    <w:rsid w:val="00FC4642"/>
    <w:rsid w:val="00FC48C7"/>
    <w:rsid w:val="00FC4A48"/>
    <w:rsid w:val="00FC4A6B"/>
    <w:rsid w:val="00FC4AE9"/>
    <w:rsid w:val="00FC4BDA"/>
    <w:rsid w:val="00FC4CAF"/>
    <w:rsid w:val="00FC4F2E"/>
    <w:rsid w:val="00FC509F"/>
    <w:rsid w:val="00FC5342"/>
    <w:rsid w:val="00FC5542"/>
    <w:rsid w:val="00FC56CD"/>
    <w:rsid w:val="00FC575B"/>
    <w:rsid w:val="00FC57D3"/>
    <w:rsid w:val="00FC5D69"/>
    <w:rsid w:val="00FC5DF4"/>
    <w:rsid w:val="00FC6087"/>
    <w:rsid w:val="00FC6813"/>
    <w:rsid w:val="00FC68C3"/>
    <w:rsid w:val="00FC6922"/>
    <w:rsid w:val="00FC69D2"/>
    <w:rsid w:val="00FC6D26"/>
    <w:rsid w:val="00FC6ECF"/>
    <w:rsid w:val="00FC6ED7"/>
    <w:rsid w:val="00FC707C"/>
    <w:rsid w:val="00FC70F6"/>
    <w:rsid w:val="00FC73D2"/>
    <w:rsid w:val="00FC775D"/>
    <w:rsid w:val="00FC7E68"/>
    <w:rsid w:val="00FD0015"/>
    <w:rsid w:val="00FD0052"/>
    <w:rsid w:val="00FD0171"/>
    <w:rsid w:val="00FD03FB"/>
    <w:rsid w:val="00FD05A3"/>
    <w:rsid w:val="00FD05F6"/>
    <w:rsid w:val="00FD07A6"/>
    <w:rsid w:val="00FD09C7"/>
    <w:rsid w:val="00FD1299"/>
    <w:rsid w:val="00FD1950"/>
    <w:rsid w:val="00FD1A54"/>
    <w:rsid w:val="00FD1B18"/>
    <w:rsid w:val="00FD1F04"/>
    <w:rsid w:val="00FD23FD"/>
    <w:rsid w:val="00FD27E6"/>
    <w:rsid w:val="00FD2A37"/>
    <w:rsid w:val="00FD2A6C"/>
    <w:rsid w:val="00FD2CA6"/>
    <w:rsid w:val="00FD2D56"/>
    <w:rsid w:val="00FD2D67"/>
    <w:rsid w:val="00FD2DF9"/>
    <w:rsid w:val="00FD3059"/>
    <w:rsid w:val="00FD3410"/>
    <w:rsid w:val="00FD34BD"/>
    <w:rsid w:val="00FD35DF"/>
    <w:rsid w:val="00FD365D"/>
    <w:rsid w:val="00FD3667"/>
    <w:rsid w:val="00FD3A76"/>
    <w:rsid w:val="00FD41CF"/>
    <w:rsid w:val="00FD4E5F"/>
    <w:rsid w:val="00FD4EC7"/>
    <w:rsid w:val="00FD55DE"/>
    <w:rsid w:val="00FD56F1"/>
    <w:rsid w:val="00FD5887"/>
    <w:rsid w:val="00FD5BA9"/>
    <w:rsid w:val="00FD5DA8"/>
    <w:rsid w:val="00FD5EBA"/>
    <w:rsid w:val="00FD5FFD"/>
    <w:rsid w:val="00FD623B"/>
    <w:rsid w:val="00FD6279"/>
    <w:rsid w:val="00FD6BE2"/>
    <w:rsid w:val="00FD6CCE"/>
    <w:rsid w:val="00FD6FE5"/>
    <w:rsid w:val="00FD710D"/>
    <w:rsid w:val="00FD716B"/>
    <w:rsid w:val="00FD7278"/>
    <w:rsid w:val="00FD7421"/>
    <w:rsid w:val="00FD7481"/>
    <w:rsid w:val="00FD7560"/>
    <w:rsid w:val="00FD77BB"/>
    <w:rsid w:val="00FD7B32"/>
    <w:rsid w:val="00FE0055"/>
    <w:rsid w:val="00FE01C7"/>
    <w:rsid w:val="00FE025B"/>
    <w:rsid w:val="00FE066E"/>
    <w:rsid w:val="00FE06AF"/>
    <w:rsid w:val="00FE0787"/>
    <w:rsid w:val="00FE079A"/>
    <w:rsid w:val="00FE0EA7"/>
    <w:rsid w:val="00FE0F63"/>
    <w:rsid w:val="00FE141D"/>
    <w:rsid w:val="00FE1592"/>
    <w:rsid w:val="00FE1629"/>
    <w:rsid w:val="00FE194C"/>
    <w:rsid w:val="00FE1D00"/>
    <w:rsid w:val="00FE1EF1"/>
    <w:rsid w:val="00FE21D5"/>
    <w:rsid w:val="00FE23EA"/>
    <w:rsid w:val="00FE2628"/>
    <w:rsid w:val="00FE2761"/>
    <w:rsid w:val="00FE2A1A"/>
    <w:rsid w:val="00FE2D9C"/>
    <w:rsid w:val="00FE2F37"/>
    <w:rsid w:val="00FE3052"/>
    <w:rsid w:val="00FE305D"/>
    <w:rsid w:val="00FE318A"/>
    <w:rsid w:val="00FE34F7"/>
    <w:rsid w:val="00FE3656"/>
    <w:rsid w:val="00FE37EC"/>
    <w:rsid w:val="00FE37F2"/>
    <w:rsid w:val="00FE3885"/>
    <w:rsid w:val="00FE3E08"/>
    <w:rsid w:val="00FE4031"/>
    <w:rsid w:val="00FE4269"/>
    <w:rsid w:val="00FE451A"/>
    <w:rsid w:val="00FE4638"/>
    <w:rsid w:val="00FE46F4"/>
    <w:rsid w:val="00FE49E1"/>
    <w:rsid w:val="00FE4B89"/>
    <w:rsid w:val="00FE4BAD"/>
    <w:rsid w:val="00FE4F14"/>
    <w:rsid w:val="00FE4F67"/>
    <w:rsid w:val="00FE5165"/>
    <w:rsid w:val="00FE53EA"/>
    <w:rsid w:val="00FE5457"/>
    <w:rsid w:val="00FE596A"/>
    <w:rsid w:val="00FE5F43"/>
    <w:rsid w:val="00FE603C"/>
    <w:rsid w:val="00FE6086"/>
    <w:rsid w:val="00FE62B7"/>
    <w:rsid w:val="00FE62CE"/>
    <w:rsid w:val="00FE65F1"/>
    <w:rsid w:val="00FE665A"/>
    <w:rsid w:val="00FE6ACB"/>
    <w:rsid w:val="00FE6DAF"/>
    <w:rsid w:val="00FE6F52"/>
    <w:rsid w:val="00FE6FEE"/>
    <w:rsid w:val="00FE7408"/>
    <w:rsid w:val="00FE7451"/>
    <w:rsid w:val="00FE7517"/>
    <w:rsid w:val="00FE7C22"/>
    <w:rsid w:val="00FE7FC1"/>
    <w:rsid w:val="00FF003B"/>
    <w:rsid w:val="00FF0206"/>
    <w:rsid w:val="00FF0217"/>
    <w:rsid w:val="00FF02D9"/>
    <w:rsid w:val="00FF0391"/>
    <w:rsid w:val="00FF0965"/>
    <w:rsid w:val="00FF0AA8"/>
    <w:rsid w:val="00FF114D"/>
    <w:rsid w:val="00FF154B"/>
    <w:rsid w:val="00FF1D57"/>
    <w:rsid w:val="00FF22D1"/>
    <w:rsid w:val="00FF2658"/>
    <w:rsid w:val="00FF28C7"/>
    <w:rsid w:val="00FF2991"/>
    <w:rsid w:val="00FF3426"/>
    <w:rsid w:val="00FF3A26"/>
    <w:rsid w:val="00FF44C2"/>
    <w:rsid w:val="00FF4791"/>
    <w:rsid w:val="00FF4A6D"/>
    <w:rsid w:val="00FF4DBD"/>
    <w:rsid w:val="00FF4E6E"/>
    <w:rsid w:val="00FF4EE3"/>
    <w:rsid w:val="00FF5191"/>
    <w:rsid w:val="00FF5264"/>
    <w:rsid w:val="00FF5457"/>
    <w:rsid w:val="00FF5632"/>
    <w:rsid w:val="00FF57D1"/>
    <w:rsid w:val="00FF5D2D"/>
    <w:rsid w:val="00FF6028"/>
    <w:rsid w:val="00FF68F1"/>
    <w:rsid w:val="00FF6D68"/>
    <w:rsid w:val="00FF781A"/>
    <w:rsid w:val="00FF786B"/>
    <w:rsid w:val="00FF7CA3"/>
    <w:rsid w:val="00FF7CC8"/>
    <w:rsid w:val="00FF7F3E"/>
    <w:rsid w:val="010107D5"/>
    <w:rsid w:val="01024428"/>
    <w:rsid w:val="01026446"/>
    <w:rsid w:val="01124FB4"/>
    <w:rsid w:val="011636C6"/>
    <w:rsid w:val="011C6C12"/>
    <w:rsid w:val="011D5257"/>
    <w:rsid w:val="0120468C"/>
    <w:rsid w:val="01233A9E"/>
    <w:rsid w:val="01371F8A"/>
    <w:rsid w:val="013C690E"/>
    <w:rsid w:val="014001AC"/>
    <w:rsid w:val="01455351"/>
    <w:rsid w:val="014F219D"/>
    <w:rsid w:val="01534F3B"/>
    <w:rsid w:val="015B42E4"/>
    <w:rsid w:val="016019EA"/>
    <w:rsid w:val="01626374"/>
    <w:rsid w:val="016818C5"/>
    <w:rsid w:val="016D6AC7"/>
    <w:rsid w:val="018854ED"/>
    <w:rsid w:val="018A7679"/>
    <w:rsid w:val="018F522B"/>
    <w:rsid w:val="01934780"/>
    <w:rsid w:val="019404F8"/>
    <w:rsid w:val="019B53E2"/>
    <w:rsid w:val="01AE15BA"/>
    <w:rsid w:val="01C0753F"/>
    <w:rsid w:val="01CC7EBE"/>
    <w:rsid w:val="01CE6FC8"/>
    <w:rsid w:val="01D04BAD"/>
    <w:rsid w:val="01EE20F8"/>
    <w:rsid w:val="01F01F8D"/>
    <w:rsid w:val="01F71BF4"/>
    <w:rsid w:val="02021905"/>
    <w:rsid w:val="02092C94"/>
    <w:rsid w:val="021711CB"/>
    <w:rsid w:val="02186A7F"/>
    <w:rsid w:val="02284B99"/>
    <w:rsid w:val="022C3354"/>
    <w:rsid w:val="023870D5"/>
    <w:rsid w:val="02397D9A"/>
    <w:rsid w:val="025C3910"/>
    <w:rsid w:val="025C3F39"/>
    <w:rsid w:val="0265427D"/>
    <w:rsid w:val="02696AD2"/>
    <w:rsid w:val="02771631"/>
    <w:rsid w:val="027A2EE5"/>
    <w:rsid w:val="028247F4"/>
    <w:rsid w:val="0292577E"/>
    <w:rsid w:val="02A95211"/>
    <w:rsid w:val="02C464B1"/>
    <w:rsid w:val="02C86AC3"/>
    <w:rsid w:val="02DD1A2B"/>
    <w:rsid w:val="02E4100B"/>
    <w:rsid w:val="02FD4459"/>
    <w:rsid w:val="02FF5E45"/>
    <w:rsid w:val="030315AD"/>
    <w:rsid w:val="03050886"/>
    <w:rsid w:val="03074A83"/>
    <w:rsid w:val="030E4DBB"/>
    <w:rsid w:val="031511C4"/>
    <w:rsid w:val="031C364E"/>
    <w:rsid w:val="03254220"/>
    <w:rsid w:val="032744F2"/>
    <w:rsid w:val="03305FFE"/>
    <w:rsid w:val="03400B54"/>
    <w:rsid w:val="034B50DA"/>
    <w:rsid w:val="035B7507"/>
    <w:rsid w:val="035E4919"/>
    <w:rsid w:val="0365214C"/>
    <w:rsid w:val="0374238F"/>
    <w:rsid w:val="03757226"/>
    <w:rsid w:val="037B18EC"/>
    <w:rsid w:val="0391282E"/>
    <w:rsid w:val="03962305"/>
    <w:rsid w:val="03B93A43"/>
    <w:rsid w:val="03CC61E0"/>
    <w:rsid w:val="03CE0060"/>
    <w:rsid w:val="03D54609"/>
    <w:rsid w:val="03E658B3"/>
    <w:rsid w:val="03E66044"/>
    <w:rsid w:val="03F2061B"/>
    <w:rsid w:val="03F222A7"/>
    <w:rsid w:val="03F67248"/>
    <w:rsid w:val="03F6747E"/>
    <w:rsid w:val="04034F5F"/>
    <w:rsid w:val="04071455"/>
    <w:rsid w:val="041517C6"/>
    <w:rsid w:val="041E22FB"/>
    <w:rsid w:val="042B1B41"/>
    <w:rsid w:val="042C16E6"/>
    <w:rsid w:val="04336572"/>
    <w:rsid w:val="04446205"/>
    <w:rsid w:val="044B04ED"/>
    <w:rsid w:val="044E2BE0"/>
    <w:rsid w:val="044E4C36"/>
    <w:rsid w:val="044F0547"/>
    <w:rsid w:val="045C1F77"/>
    <w:rsid w:val="04671920"/>
    <w:rsid w:val="04695C6C"/>
    <w:rsid w:val="046E1C10"/>
    <w:rsid w:val="04786A62"/>
    <w:rsid w:val="04843B99"/>
    <w:rsid w:val="048F7622"/>
    <w:rsid w:val="04907711"/>
    <w:rsid w:val="049451E1"/>
    <w:rsid w:val="04956F64"/>
    <w:rsid w:val="049809E4"/>
    <w:rsid w:val="049D3B67"/>
    <w:rsid w:val="04A96731"/>
    <w:rsid w:val="04AC7907"/>
    <w:rsid w:val="04AD3DAA"/>
    <w:rsid w:val="04B30C95"/>
    <w:rsid w:val="04BD5A37"/>
    <w:rsid w:val="04C40A71"/>
    <w:rsid w:val="04CC6FFB"/>
    <w:rsid w:val="04D330E5"/>
    <w:rsid w:val="04D53301"/>
    <w:rsid w:val="04D74983"/>
    <w:rsid w:val="04DA0E71"/>
    <w:rsid w:val="04E2157A"/>
    <w:rsid w:val="04E62E18"/>
    <w:rsid w:val="04FB4848"/>
    <w:rsid w:val="05025B2C"/>
    <w:rsid w:val="0505554B"/>
    <w:rsid w:val="05080FE1"/>
    <w:rsid w:val="051F680F"/>
    <w:rsid w:val="052B31F9"/>
    <w:rsid w:val="05323499"/>
    <w:rsid w:val="0539563E"/>
    <w:rsid w:val="053C6EDC"/>
    <w:rsid w:val="053D1917"/>
    <w:rsid w:val="053F044B"/>
    <w:rsid w:val="053F58E6"/>
    <w:rsid w:val="0544609C"/>
    <w:rsid w:val="0545038A"/>
    <w:rsid w:val="05480147"/>
    <w:rsid w:val="05485E44"/>
    <w:rsid w:val="05544226"/>
    <w:rsid w:val="055C2F8D"/>
    <w:rsid w:val="05715487"/>
    <w:rsid w:val="057A17B3"/>
    <w:rsid w:val="057B5C57"/>
    <w:rsid w:val="057F7766"/>
    <w:rsid w:val="05812B41"/>
    <w:rsid w:val="0591547A"/>
    <w:rsid w:val="05AC4062"/>
    <w:rsid w:val="05AD7DDA"/>
    <w:rsid w:val="05B37E68"/>
    <w:rsid w:val="05B9661F"/>
    <w:rsid w:val="05B9677F"/>
    <w:rsid w:val="05BB0BB1"/>
    <w:rsid w:val="05C11BD2"/>
    <w:rsid w:val="05C13966"/>
    <w:rsid w:val="05C80770"/>
    <w:rsid w:val="05CB14FD"/>
    <w:rsid w:val="05CD222A"/>
    <w:rsid w:val="05CF1AFF"/>
    <w:rsid w:val="05D86489"/>
    <w:rsid w:val="05D93595"/>
    <w:rsid w:val="05DE202C"/>
    <w:rsid w:val="05E25CD6"/>
    <w:rsid w:val="05EB6049"/>
    <w:rsid w:val="05FD1851"/>
    <w:rsid w:val="060519C4"/>
    <w:rsid w:val="060D18F0"/>
    <w:rsid w:val="0619192A"/>
    <w:rsid w:val="062007F8"/>
    <w:rsid w:val="06200F7F"/>
    <w:rsid w:val="062260D2"/>
    <w:rsid w:val="06272689"/>
    <w:rsid w:val="06282677"/>
    <w:rsid w:val="062B6414"/>
    <w:rsid w:val="062C7098"/>
    <w:rsid w:val="0635401B"/>
    <w:rsid w:val="06436049"/>
    <w:rsid w:val="064C56D3"/>
    <w:rsid w:val="06543505"/>
    <w:rsid w:val="065B15E4"/>
    <w:rsid w:val="065B3392"/>
    <w:rsid w:val="065E250F"/>
    <w:rsid w:val="0661309E"/>
    <w:rsid w:val="06723038"/>
    <w:rsid w:val="067B3A34"/>
    <w:rsid w:val="06862B05"/>
    <w:rsid w:val="068648B3"/>
    <w:rsid w:val="0688531E"/>
    <w:rsid w:val="0697282B"/>
    <w:rsid w:val="06982838"/>
    <w:rsid w:val="069A65B0"/>
    <w:rsid w:val="06A656BB"/>
    <w:rsid w:val="06AD62E4"/>
    <w:rsid w:val="06C457C1"/>
    <w:rsid w:val="06C54CB0"/>
    <w:rsid w:val="06CF4ED6"/>
    <w:rsid w:val="06E51C97"/>
    <w:rsid w:val="06EE6239"/>
    <w:rsid w:val="06F072D1"/>
    <w:rsid w:val="06F15AA5"/>
    <w:rsid w:val="06F448FC"/>
    <w:rsid w:val="070B729D"/>
    <w:rsid w:val="07195727"/>
    <w:rsid w:val="071D3CB8"/>
    <w:rsid w:val="071F0864"/>
    <w:rsid w:val="0729433C"/>
    <w:rsid w:val="072F02D8"/>
    <w:rsid w:val="072F2A58"/>
    <w:rsid w:val="07413A86"/>
    <w:rsid w:val="074958E1"/>
    <w:rsid w:val="07506BD8"/>
    <w:rsid w:val="075248B9"/>
    <w:rsid w:val="07535048"/>
    <w:rsid w:val="07601CC0"/>
    <w:rsid w:val="07660BE9"/>
    <w:rsid w:val="07666493"/>
    <w:rsid w:val="076B6ADF"/>
    <w:rsid w:val="078426C7"/>
    <w:rsid w:val="07846919"/>
    <w:rsid w:val="07893F2F"/>
    <w:rsid w:val="078B7800"/>
    <w:rsid w:val="07943000"/>
    <w:rsid w:val="079947CF"/>
    <w:rsid w:val="079E46EF"/>
    <w:rsid w:val="079F3753"/>
    <w:rsid w:val="07AA33EC"/>
    <w:rsid w:val="07AC0C13"/>
    <w:rsid w:val="07BE10CF"/>
    <w:rsid w:val="07BE62CF"/>
    <w:rsid w:val="07C200AF"/>
    <w:rsid w:val="07D96880"/>
    <w:rsid w:val="07DA5E51"/>
    <w:rsid w:val="07E45BA9"/>
    <w:rsid w:val="07E84755"/>
    <w:rsid w:val="07F52985"/>
    <w:rsid w:val="0808754A"/>
    <w:rsid w:val="08165D22"/>
    <w:rsid w:val="081C4DA3"/>
    <w:rsid w:val="081E1A6A"/>
    <w:rsid w:val="08253C58"/>
    <w:rsid w:val="082E5202"/>
    <w:rsid w:val="083B791F"/>
    <w:rsid w:val="08442237"/>
    <w:rsid w:val="08450134"/>
    <w:rsid w:val="084C38DA"/>
    <w:rsid w:val="0853256D"/>
    <w:rsid w:val="08534C3A"/>
    <w:rsid w:val="08547273"/>
    <w:rsid w:val="085705E0"/>
    <w:rsid w:val="085F3D4E"/>
    <w:rsid w:val="08632B74"/>
    <w:rsid w:val="0865499C"/>
    <w:rsid w:val="087369B2"/>
    <w:rsid w:val="08872B64"/>
    <w:rsid w:val="088968DD"/>
    <w:rsid w:val="088A2458"/>
    <w:rsid w:val="08926B69"/>
    <w:rsid w:val="08AB4B03"/>
    <w:rsid w:val="08AE1E9F"/>
    <w:rsid w:val="08BF46AC"/>
    <w:rsid w:val="08BF5E5A"/>
    <w:rsid w:val="08CC78E4"/>
    <w:rsid w:val="08D15B8E"/>
    <w:rsid w:val="08D74823"/>
    <w:rsid w:val="08D8304F"/>
    <w:rsid w:val="08DF02AB"/>
    <w:rsid w:val="08E03040"/>
    <w:rsid w:val="08E128B3"/>
    <w:rsid w:val="08E21B49"/>
    <w:rsid w:val="090D12BC"/>
    <w:rsid w:val="09126B60"/>
    <w:rsid w:val="092A57D7"/>
    <w:rsid w:val="092D3B2B"/>
    <w:rsid w:val="093564BB"/>
    <w:rsid w:val="093C77E1"/>
    <w:rsid w:val="09424733"/>
    <w:rsid w:val="0947064D"/>
    <w:rsid w:val="094E5430"/>
    <w:rsid w:val="09694018"/>
    <w:rsid w:val="09817015"/>
    <w:rsid w:val="098F3179"/>
    <w:rsid w:val="098F785E"/>
    <w:rsid w:val="099D6B9D"/>
    <w:rsid w:val="09A22B02"/>
    <w:rsid w:val="09AA1703"/>
    <w:rsid w:val="09BF1871"/>
    <w:rsid w:val="09BF46EA"/>
    <w:rsid w:val="09CD0302"/>
    <w:rsid w:val="09D145EE"/>
    <w:rsid w:val="09E35B78"/>
    <w:rsid w:val="09E74D1B"/>
    <w:rsid w:val="09ED18B2"/>
    <w:rsid w:val="09EE1A69"/>
    <w:rsid w:val="0A033A90"/>
    <w:rsid w:val="0A053D41"/>
    <w:rsid w:val="0A0B50CF"/>
    <w:rsid w:val="0A0D7099"/>
    <w:rsid w:val="0A192292"/>
    <w:rsid w:val="0A24762C"/>
    <w:rsid w:val="0A286642"/>
    <w:rsid w:val="0A2A7C4B"/>
    <w:rsid w:val="0A2C7850"/>
    <w:rsid w:val="0A2D7BC5"/>
    <w:rsid w:val="0A36039E"/>
    <w:rsid w:val="0A391C3C"/>
    <w:rsid w:val="0A4852C3"/>
    <w:rsid w:val="0A55211A"/>
    <w:rsid w:val="0A567B25"/>
    <w:rsid w:val="0A5D2D03"/>
    <w:rsid w:val="0A5F0CB9"/>
    <w:rsid w:val="0A5F18B8"/>
    <w:rsid w:val="0A621953"/>
    <w:rsid w:val="0A6F1D12"/>
    <w:rsid w:val="0A70218E"/>
    <w:rsid w:val="0A73514E"/>
    <w:rsid w:val="0A764C3F"/>
    <w:rsid w:val="0A79028B"/>
    <w:rsid w:val="0A79472F"/>
    <w:rsid w:val="0A8235E3"/>
    <w:rsid w:val="0A892BC4"/>
    <w:rsid w:val="0A8A20AE"/>
    <w:rsid w:val="0A8F50FD"/>
    <w:rsid w:val="0A95443A"/>
    <w:rsid w:val="0AA96DC2"/>
    <w:rsid w:val="0AC42F8B"/>
    <w:rsid w:val="0AC5495A"/>
    <w:rsid w:val="0ACC2AB1"/>
    <w:rsid w:val="0AD367D8"/>
    <w:rsid w:val="0AE4097E"/>
    <w:rsid w:val="0AEF47D6"/>
    <w:rsid w:val="0AF3003D"/>
    <w:rsid w:val="0AF93802"/>
    <w:rsid w:val="0B02541A"/>
    <w:rsid w:val="0B077394"/>
    <w:rsid w:val="0B0A4732"/>
    <w:rsid w:val="0B13248D"/>
    <w:rsid w:val="0B1D155E"/>
    <w:rsid w:val="0B274B38"/>
    <w:rsid w:val="0B283B76"/>
    <w:rsid w:val="0B314564"/>
    <w:rsid w:val="0B3348DE"/>
    <w:rsid w:val="0B3A43AE"/>
    <w:rsid w:val="0B3C0E99"/>
    <w:rsid w:val="0B3D360F"/>
    <w:rsid w:val="0B3E16B4"/>
    <w:rsid w:val="0B440899"/>
    <w:rsid w:val="0B472137"/>
    <w:rsid w:val="0B5F4163"/>
    <w:rsid w:val="0B641901"/>
    <w:rsid w:val="0B6522E0"/>
    <w:rsid w:val="0B725406"/>
    <w:rsid w:val="0B75518B"/>
    <w:rsid w:val="0B795547"/>
    <w:rsid w:val="0B9628F8"/>
    <w:rsid w:val="0B995089"/>
    <w:rsid w:val="0B9A495D"/>
    <w:rsid w:val="0BA7621D"/>
    <w:rsid w:val="0BAD4690"/>
    <w:rsid w:val="0BAF7A66"/>
    <w:rsid w:val="0BB81B55"/>
    <w:rsid w:val="0BB81CC7"/>
    <w:rsid w:val="0BBA0055"/>
    <w:rsid w:val="0BBD1F84"/>
    <w:rsid w:val="0BC67A49"/>
    <w:rsid w:val="0BD00D96"/>
    <w:rsid w:val="0BDC6D23"/>
    <w:rsid w:val="0BDE6F3F"/>
    <w:rsid w:val="0BE502CE"/>
    <w:rsid w:val="0BEB51B8"/>
    <w:rsid w:val="0BF127E9"/>
    <w:rsid w:val="0BF26C44"/>
    <w:rsid w:val="0BF86E7F"/>
    <w:rsid w:val="0C027D9A"/>
    <w:rsid w:val="0C0452F3"/>
    <w:rsid w:val="0C083FBC"/>
    <w:rsid w:val="0C0E7959"/>
    <w:rsid w:val="0C0F2D95"/>
    <w:rsid w:val="0C10528F"/>
    <w:rsid w:val="0C184DDA"/>
    <w:rsid w:val="0C204ACC"/>
    <w:rsid w:val="0C21763B"/>
    <w:rsid w:val="0C2E24A9"/>
    <w:rsid w:val="0C387663"/>
    <w:rsid w:val="0C3C2038"/>
    <w:rsid w:val="0C46604F"/>
    <w:rsid w:val="0C4B2061"/>
    <w:rsid w:val="0C5165ED"/>
    <w:rsid w:val="0C5257B6"/>
    <w:rsid w:val="0C542975"/>
    <w:rsid w:val="0C5A38E0"/>
    <w:rsid w:val="0C5E3BDC"/>
    <w:rsid w:val="0C637445"/>
    <w:rsid w:val="0C712C13"/>
    <w:rsid w:val="0C721436"/>
    <w:rsid w:val="0C7B02EA"/>
    <w:rsid w:val="0C820DAD"/>
    <w:rsid w:val="0C831895"/>
    <w:rsid w:val="0C861D43"/>
    <w:rsid w:val="0C8C24F7"/>
    <w:rsid w:val="0C8F6F29"/>
    <w:rsid w:val="0C9238CE"/>
    <w:rsid w:val="0C986344"/>
    <w:rsid w:val="0CA0118E"/>
    <w:rsid w:val="0CBD45C2"/>
    <w:rsid w:val="0CCA615D"/>
    <w:rsid w:val="0CDA33C8"/>
    <w:rsid w:val="0CED604B"/>
    <w:rsid w:val="0CF52F9A"/>
    <w:rsid w:val="0CFD33F5"/>
    <w:rsid w:val="0D077DD0"/>
    <w:rsid w:val="0D250E64"/>
    <w:rsid w:val="0D2B74E5"/>
    <w:rsid w:val="0D2C7836"/>
    <w:rsid w:val="0D2E1801"/>
    <w:rsid w:val="0D2F3B51"/>
    <w:rsid w:val="0D3112F1"/>
    <w:rsid w:val="0D3606B5"/>
    <w:rsid w:val="0D424EDD"/>
    <w:rsid w:val="0D447457"/>
    <w:rsid w:val="0D474864"/>
    <w:rsid w:val="0D48419C"/>
    <w:rsid w:val="0D4A6563"/>
    <w:rsid w:val="0D524593"/>
    <w:rsid w:val="0D531267"/>
    <w:rsid w:val="0D5B5226"/>
    <w:rsid w:val="0D5F0FC1"/>
    <w:rsid w:val="0D643474"/>
    <w:rsid w:val="0D676AC1"/>
    <w:rsid w:val="0D6C0757"/>
    <w:rsid w:val="0D6E0681"/>
    <w:rsid w:val="0D782986"/>
    <w:rsid w:val="0D795F5B"/>
    <w:rsid w:val="0D8563B7"/>
    <w:rsid w:val="0D916481"/>
    <w:rsid w:val="0D961154"/>
    <w:rsid w:val="0D9F26FE"/>
    <w:rsid w:val="0DB8731C"/>
    <w:rsid w:val="0DB96AFC"/>
    <w:rsid w:val="0DC42165"/>
    <w:rsid w:val="0DCA2838"/>
    <w:rsid w:val="0DCC4A75"/>
    <w:rsid w:val="0DCE78F1"/>
    <w:rsid w:val="0DE10B00"/>
    <w:rsid w:val="0DFC36AD"/>
    <w:rsid w:val="0E0013EF"/>
    <w:rsid w:val="0E083E00"/>
    <w:rsid w:val="0E0D02B1"/>
    <w:rsid w:val="0E0D7668"/>
    <w:rsid w:val="0E1409F6"/>
    <w:rsid w:val="0E1B470E"/>
    <w:rsid w:val="0E1E7AC7"/>
    <w:rsid w:val="0E2A13FA"/>
    <w:rsid w:val="0E2C21E4"/>
    <w:rsid w:val="0E394617"/>
    <w:rsid w:val="0E440BB0"/>
    <w:rsid w:val="0E4432E6"/>
    <w:rsid w:val="0E5057A7"/>
    <w:rsid w:val="0E5232CD"/>
    <w:rsid w:val="0E5C239D"/>
    <w:rsid w:val="0E6A6868"/>
    <w:rsid w:val="0E6B1EF5"/>
    <w:rsid w:val="0E714510"/>
    <w:rsid w:val="0E7476AF"/>
    <w:rsid w:val="0E796AAB"/>
    <w:rsid w:val="0E9E19C8"/>
    <w:rsid w:val="0EA7186A"/>
    <w:rsid w:val="0EA855E3"/>
    <w:rsid w:val="0EAA1A2B"/>
    <w:rsid w:val="0EB61AAE"/>
    <w:rsid w:val="0EBE79C5"/>
    <w:rsid w:val="0EC0478C"/>
    <w:rsid w:val="0EC20452"/>
    <w:rsid w:val="0ECF4E6C"/>
    <w:rsid w:val="0ED50030"/>
    <w:rsid w:val="0ED957AA"/>
    <w:rsid w:val="0EE54141"/>
    <w:rsid w:val="0EE71826"/>
    <w:rsid w:val="0EE77EB9"/>
    <w:rsid w:val="0EE963D0"/>
    <w:rsid w:val="0EEE4F9A"/>
    <w:rsid w:val="0EF952E9"/>
    <w:rsid w:val="0F003166"/>
    <w:rsid w:val="0F0460CD"/>
    <w:rsid w:val="0F0D0441"/>
    <w:rsid w:val="0F1B23BF"/>
    <w:rsid w:val="0F20118F"/>
    <w:rsid w:val="0F2240D3"/>
    <w:rsid w:val="0F2A4C9F"/>
    <w:rsid w:val="0F2F71AE"/>
    <w:rsid w:val="0F35718E"/>
    <w:rsid w:val="0F410F9E"/>
    <w:rsid w:val="0F43205F"/>
    <w:rsid w:val="0F461B84"/>
    <w:rsid w:val="0F496918"/>
    <w:rsid w:val="0F4C0664"/>
    <w:rsid w:val="0F5277A8"/>
    <w:rsid w:val="0F5D36FF"/>
    <w:rsid w:val="0F6239E3"/>
    <w:rsid w:val="0F6E311F"/>
    <w:rsid w:val="0F6E755A"/>
    <w:rsid w:val="0F76123D"/>
    <w:rsid w:val="0F826CDC"/>
    <w:rsid w:val="0F87525D"/>
    <w:rsid w:val="0F9B0CA3"/>
    <w:rsid w:val="0FA00F27"/>
    <w:rsid w:val="0FAB704D"/>
    <w:rsid w:val="0FB40D00"/>
    <w:rsid w:val="0FC226D4"/>
    <w:rsid w:val="0FC471E7"/>
    <w:rsid w:val="0FC53840"/>
    <w:rsid w:val="0FDF3286"/>
    <w:rsid w:val="0FE268D2"/>
    <w:rsid w:val="0FEB2BD8"/>
    <w:rsid w:val="0FF5469B"/>
    <w:rsid w:val="0FF830BD"/>
    <w:rsid w:val="0FFF2C84"/>
    <w:rsid w:val="10066A65"/>
    <w:rsid w:val="10090303"/>
    <w:rsid w:val="10091618"/>
    <w:rsid w:val="100E76C7"/>
    <w:rsid w:val="101248F8"/>
    <w:rsid w:val="10230142"/>
    <w:rsid w:val="10284C2D"/>
    <w:rsid w:val="10294501"/>
    <w:rsid w:val="102B052D"/>
    <w:rsid w:val="102B5356"/>
    <w:rsid w:val="103435D2"/>
    <w:rsid w:val="103E0924"/>
    <w:rsid w:val="104649EC"/>
    <w:rsid w:val="105649FF"/>
    <w:rsid w:val="10667503"/>
    <w:rsid w:val="10710D7F"/>
    <w:rsid w:val="107B3B17"/>
    <w:rsid w:val="10802373"/>
    <w:rsid w:val="109E4280"/>
    <w:rsid w:val="10A65B52"/>
    <w:rsid w:val="10A67900"/>
    <w:rsid w:val="10C40588"/>
    <w:rsid w:val="10C6775A"/>
    <w:rsid w:val="10C954D8"/>
    <w:rsid w:val="10CF32FA"/>
    <w:rsid w:val="10D26947"/>
    <w:rsid w:val="10DF0323"/>
    <w:rsid w:val="10E3597E"/>
    <w:rsid w:val="10EF74F9"/>
    <w:rsid w:val="10F30FBB"/>
    <w:rsid w:val="10F934E9"/>
    <w:rsid w:val="10FC1007"/>
    <w:rsid w:val="1102754C"/>
    <w:rsid w:val="11034D52"/>
    <w:rsid w:val="1107509D"/>
    <w:rsid w:val="110E077A"/>
    <w:rsid w:val="111044A7"/>
    <w:rsid w:val="11176512"/>
    <w:rsid w:val="1118351C"/>
    <w:rsid w:val="112229A1"/>
    <w:rsid w:val="11265A40"/>
    <w:rsid w:val="113D37B6"/>
    <w:rsid w:val="11457BAB"/>
    <w:rsid w:val="11474061"/>
    <w:rsid w:val="114970AF"/>
    <w:rsid w:val="1150566E"/>
    <w:rsid w:val="11515ABE"/>
    <w:rsid w:val="1157279B"/>
    <w:rsid w:val="1182211B"/>
    <w:rsid w:val="118F004D"/>
    <w:rsid w:val="11943BFC"/>
    <w:rsid w:val="119500A0"/>
    <w:rsid w:val="119603B5"/>
    <w:rsid w:val="11973CC4"/>
    <w:rsid w:val="119A34E9"/>
    <w:rsid w:val="11A11CCF"/>
    <w:rsid w:val="11A65AC9"/>
    <w:rsid w:val="11AA3165"/>
    <w:rsid w:val="11B0526D"/>
    <w:rsid w:val="11B72CA7"/>
    <w:rsid w:val="11CB04E4"/>
    <w:rsid w:val="11CE5360"/>
    <w:rsid w:val="11EB5F12"/>
    <w:rsid w:val="11ED5463"/>
    <w:rsid w:val="120255E4"/>
    <w:rsid w:val="12083BC0"/>
    <w:rsid w:val="120F4090"/>
    <w:rsid w:val="121E7FF6"/>
    <w:rsid w:val="122A233A"/>
    <w:rsid w:val="12305BF2"/>
    <w:rsid w:val="12410182"/>
    <w:rsid w:val="12423615"/>
    <w:rsid w:val="12503FC7"/>
    <w:rsid w:val="125A4E46"/>
    <w:rsid w:val="125D5253"/>
    <w:rsid w:val="1261277B"/>
    <w:rsid w:val="126A07AF"/>
    <w:rsid w:val="127006A0"/>
    <w:rsid w:val="1277724F"/>
    <w:rsid w:val="1278771C"/>
    <w:rsid w:val="12794C71"/>
    <w:rsid w:val="127B54E8"/>
    <w:rsid w:val="128A572B"/>
    <w:rsid w:val="128A74D9"/>
    <w:rsid w:val="128B14A3"/>
    <w:rsid w:val="128D0D77"/>
    <w:rsid w:val="12984D18"/>
    <w:rsid w:val="129F629C"/>
    <w:rsid w:val="12A165D1"/>
    <w:rsid w:val="12A57315"/>
    <w:rsid w:val="12A85BB1"/>
    <w:rsid w:val="12B14BF8"/>
    <w:rsid w:val="12B46304"/>
    <w:rsid w:val="12BC3513"/>
    <w:rsid w:val="12BD6655"/>
    <w:rsid w:val="12C0114D"/>
    <w:rsid w:val="12C329EB"/>
    <w:rsid w:val="12CB278D"/>
    <w:rsid w:val="12D44BF8"/>
    <w:rsid w:val="12DA4151"/>
    <w:rsid w:val="12E52944"/>
    <w:rsid w:val="12E95BB3"/>
    <w:rsid w:val="12EA441C"/>
    <w:rsid w:val="12EA761E"/>
    <w:rsid w:val="12F0762D"/>
    <w:rsid w:val="12F35D2A"/>
    <w:rsid w:val="130128D5"/>
    <w:rsid w:val="13081D2C"/>
    <w:rsid w:val="130C4392"/>
    <w:rsid w:val="1316302A"/>
    <w:rsid w:val="131A4DCD"/>
    <w:rsid w:val="131F5B8B"/>
    <w:rsid w:val="1335531E"/>
    <w:rsid w:val="13453400"/>
    <w:rsid w:val="135629F4"/>
    <w:rsid w:val="136847F8"/>
    <w:rsid w:val="13741F37"/>
    <w:rsid w:val="13757BDE"/>
    <w:rsid w:val="13765CAF"/>
    <w:rsid w:val="13835848"/>
    <w:rsid w:val="138403CC"/>
    <w:rsid w:val="138A175B"/>
    <w:rsid w:val="13912AE9"/>
    <w:rsid w:val="139D323C"/>
    <w:rsid w:val="139E06F7"/>
    <w:rsid w:val="13AC657F"/>
    <w:rsid w:val="13B642FE"/>
    <w:rsid w:val="13BB1914"/>
    <w:rsid w:val="13BD38DE"/>
    <w:rsid w:val="13CB7DA9"/>
    <w:rsid w:val="13CC3B21"/>
    <w:rsid w:val="13CD70D5"/>
    <w:rsid w:val="13CF732F"/>
    <w:rsid w:val="13D11138"/>
    <w:rsid w:val="13DA7FEC"/>
    <w:rsid w:val="13DD7ADC"/>
    <w:rsid w:val="13E32F9E"/>
    <w:rsid w:val="13EC23C1"/>
    <w:rsid w:val="13F217DB"/>
    <w:rsid w:val="13FB5FED"/>
    <w:rsid w:val="140A0EEB"/>
    <w:rsid w:val="140C2170"/>
    <w:rsid w:val="14153FA6"/>
    <w:rsid w:val="14183F4A"/>
    <w:rsid w:val="141A5D2B"/>
    <w:rsid w:val="14246F8B"/>
    <w:rsid w:val="14270D58"/>
    <w:rsid w:val="142C636E"/>
    <w:rsid w:val="14305735"/>
    <w:rsid w:val="143A74DB"/>
    <w:rsid w:val="143C3201"/>
    <w:rsid w:val="143D057B"/>
    <w:rsid w:val="144910C5"/>
    <w:rsid w:val="144B713C"/>
    <w:rsid w:val="14553B17"/>
    <w:rsid w:val="145A6DAA"/>
    <w:rsid w:val="145F1DC0"/>
    <w:rsid w:val="146B4A01"/>
    <w:rsid w:val="14757D15"/>
    <w:rsid w:val="1476419A"/>
    <w:rsid w:val="14790AC8"/>
    <w:rsid w:val="147D2EF7"/>
    <w:rsid w:val="14A00981"/>
    <w:rsid w:val="14AA3E63"/>
    <w:rsid w:val="14AB3737"/>
    <w:rsid w:val="14B52807"/>
    <w:rsid w:val="14C3706B"/>
    <w:rsid w:val="14C94663"/>
    <w:rsid w:val="14CE6BAC"/>
    <w:rsid w:val="14D62EA9"/>
    <w:rsid w:val="14DA29B0"/>
    <w:rsid w:val="14E135FC"/>
    <w:rsid w:val="14EF1707"/>
    <w:rsid w:val="14F471FB"/>
    <w:rsid w:val="14F72E20"/>
    <w:rsid w:val="15046F49"/>
    <w:rsid w:val="15207076"/>
    <w:rsid w:val="15247238"/>
    <w:rsid w:val="1525798D"/>
    <w:rsid w:val="152D637A"/>
    <w:rsid w:val="152F4D8B"/>
    <w:rsid w:val="15320BED"/>
    <w:rsid w:val="15377178"/>
    <w:rsid w:val="154F6DAC"/>
    <w:rsid w:val="155475BA"/>
    <w:rsid w:val="15606420"/>
    <w:rsid w:val="15655FDB"/>
    <w:rsid w:val="15673B02"/>
    <w:rsid w:val="156D4C43"/>
    <w:rsid w:val="157C5FC1"/>
    <w:rsid w:val="157E709D"/>
    <w:rsid w:val="15802E15"/>
    <w:rsid w:val="158706FB"/>
    <w:rsid w:val="158A3C94"/>
    <w:rsid w:val="158E3733"/>
    <w:rsid w:val="159A4CAE"/>
    <w:rsid w:val="159E7BF4"/>
    <w:rsid w:val="15A6180F"/>
    <w:rsid w:val="15A94E95"/>
    <w:rsid w:val="15B12FCF"/>
    <w:rsid w:val="15B825AF"/>
    <w:rsid w:val="15BA6E2E"/>
    <w:rsid w:val="15BD33B3"/>
    <w:rsid w:val="15BD4E21"/>
    <w:rsid w:val="15BE479B"/>
    <w:rsid w:val="15C0054B"/>
    <w:rsid w:val="15CE1473"/>
    <w:rsid w:val="15CF16A7"/>
    <w:rsid w:val="15E14DCE"/>
    <w:rsid w:val="15E57387"/>
    <w:rsid w:val="15F2123E"/>
    <w:rsid w:val="15FF73FB"/>
    <w:rsid w:val="1608604F"/>
    <w:rsid w:val="161D125C"/>
    <w:rsid w:val="162C6AF9"/>
    <w:rsid w:val="163360DA"/>
    <w:rsid w:val="164060BE"/>
    <w:rsid w:val="16432A88"/>
    <w:rsid w:val="164436F2"/>
    <w:rsid w:val="164633CA"/>
    <w:rsid w:val="16517DC9"/>
    <w:rsid w:val="16585B40"/>
    <w:rsid w:val="16611551"/>
    <w:rsid w:val="16691AFB"/>
    <w:rsid w:val="166A48E7"/>
    <w:rsid w:val="166F2D37"/>
    <w:rsid w:val="167377DD"/>
    <w:rsid w:val="16766832"/>
    <w:rsid w:val="16806849"/>
    <w:rsid w:val="16856595"/>
    <w:rsid w:val="16871D16"/>
    <w:rsid w:val="169C572F"/>
    <w:rsid w:val="169F73DB"/>
    <w:rsid w:val="16B24B93"/>
    <w:rsid w:val="16B667EE"/>
    <w:rsid w:val="16B8371F"/>
    <w:rsid w:val="16C272F1"/>
    <w:rsid w:val="16C84A74"/>
    <w:rsid w:val="16C94348"/>
    <w:rsid w:val="16CA5BF1"/>
    <w:rsid w:val="16CE6B9E"/>
    <w:rsid w:val="16E00BDA"/>
    <w:rsid w:val="16E212E5"/>
    <w:rsid w:val="16E6525C"/>
    <w:rsid w:val="16F16C8E"/>
    <w:rsid w:val="16F615E1"/>
    <w:rsid w:val="17033B40"/>
    <w:rsid w:val="17194B22"/>
    <w:rsid w:val="17237EFC"/>
    <w:rsid w:val="172F2734"/>
    <w:rsid w:val="1732243E"/>
    <w:rsid w:val="17343EB7"/>
    <w:rsid w:val="173619DD"/>
    <w:rsid w:val="173C4B1A"/>
    <w:rsid w:val="174A6761"/>
    <w:rsid w:val="174D0CBA"/>
    <w:rsid w:val="174F484D"/>
    <w:rsid w:val="17583F26"/>
    <w:rsid w:val="1776627E"/>
    <w:rsid w:val="17773DA4"/>
    <w:rsid w:val="177B7D38"/>
    <w:rsid w:val="177C3D8C"/>
    <w:rsid w:val="177E0F07"/>
    <w:rsid w:val="178022C9"/>
    <w:rsid w:val="17834701"/>
    <w:rsid w:val="1791130A"/>
    <w:rsid w:val="179130B8"/>
    <w:rsid w:val="17944873"/>
    <w:rsid w:val="17A4103D"/>
    <w:rsid w:val="17A4766C"/>
    <w:rsid w:val="17A75568"/>
    <w:rsid w:val="17B04C95"/>
    <w:rsid w:val="17B52555"/>
    <w:rsid w:val="17B8087B"/>
    <w:rsid w:val="17BB6387"/>
    <w:rsid w:val="17C22F14"/>
    <w:rsid w:val="17C87A2D"/>
    <w:rsid w:val="17CC40F0"/>
    <w:rsid w:val="17CF1E32"/>
    <w:rsid w:val="17DD00AB"/>
    <w:rsid w:val="17E256C1"/>
    <w:rsid w:val="17E42915"/>
    <w:rsid w:val="17F2442B"/>
    <w:rsid w:val="17F453F5"/>
    <w:rsid w:val="17FB6783"/>
    <w:rsid w:val="1810187E"/>
    <w:rsid w:val="181066D2"/>
    <w:rsid w:val="18186E8D"/>
    <w:rsid w:val="18222291"/>
    <w:rsid w:val="18246CE4"/>
    <w:rsid w:val="18261A5E"/>
    <w:rsid w:val="182E4DAB"/>
    <w:rsid w:val="182F7628"/>
    <w:rsid w:val="18366128"/>
    <w:rsid w:val="183A374F"/>
    <w:rsid w:val="183A54FD"/>
    <w:rsid w:val="18404F51"/>
    <w:rsid w:val="18421534"/>
    <w:rsid w:val="1842740E"/>
    <w:rsid w:val="18435D13"/>
    <w:rsid w:val="18477C1A"/>
    <w:rsid w:val="1853077E"/>
    <w:rsid w:val="185A794E"/>
    <w:rsid w:val="18616F2E"/>
    <w:rsid w:val="186961C8"/>
    <w:rsid w:val="187622AE"/>
    <w:rsid w:val="1890336F"/>
    <w:rsid w:val="189849B2"/>
    <w:rsid w:val="18A4232E"/>
    <w:rsid w:val="18AD7850"/>
    <w:rsid w:val="18AE1A47"/>
    <w:rsid w:val="18B00B82"/>
    <w:rsid w:val="18C01B61"/>
    <w:rsid w:val="18C965C0"/>
    <w:rsid w:val="18CD51AA"/>
    <w:rsid w:val="18CE20EA"/>
    <w:rsid w:val="18DC5412"/>
    <w:rsid w:val="18E41E1C"/>
    <w:rsid w:val="18E85930"/>
    <w:rsid w:val="18FA4C8D"/>
    <w:rsid w:val="18FB0BF9"/>
    <w:rsid w:val="19147B63"/>
    <w:rsid w:val="192D0BBE"/>
    <w:rsid w:val="192D5062"/>
    <w:rsid w:val="193006AE"/>
    <w:rsid w:val="193E2E2C"/>
    <w:rsid w:val="193E726F"/>
    <w:rsid w:val="19502AFF"/>
    <w:rsid w:val="195412FC"/>
    <w:rsid w:val="19597C05"/>
    <w:rsid w:val="195B1BCF"/>
    <w:rsid w:val="19793E03"/>
    <w:rsid w:val="197C0CF2"/>
    <w:rsid w:val="198744A9"/>
    <w:rsid w:val="198804EA"/>
    <w:rsid w:val="198D3D53"/>
    <w:rsid w:val="198E07F5"/>
    <w:rsid w:val="19921369"/>
    <w:rsid w:val="19924EC5"/>
    <w:rsid w:val="19960E59"/>
    <w:rsid w:val="199B21ED"/>
    <w:rsid w:val="199B570B"/>
    <w:rsid w:val="19A30E80"/>
    <w:rsid w:val="19A36299"/>
    <w:rsid w:val="19A67F8E"/>
    <w:rsid w:val="19A75A26"/>
    <w:rsid w:val="19B64284"/>
    <w:rsid w:val="19C27A60"/>
    <w:rsid w:val="19C659F5"/>
    <w:rsid w:val="19C879BD"/>
    <w:rsid w:val="19C9137E"/>
    <w:rsid w:val="19D5589C"/>
    <w:rsid w:val="19DB2D10"/>
    <w:rsid w:val="19EB40EC"/>
    <w:rsid w:val="19FD20D7"/>
    <w:rsid w:val="19FD67E3"/>
    <w:rsid w:val="1A0E7DBC"/>
    <w:rsid w:val="1A1018C4"/>
    <w:rsid w:val="1A1275D2"/>
    <w:rsid w:val="1A16667C"/>
    <w:rsid w:val="1A293196"/>
    <w:rsid w:val="1A2E32E8"/>
    <w:rsid w:val="1A312930"/>
    <w:rsid w:val="1A3213A4"/>
    <w:rsid w:val="1A336A26"/>
    <w:rsid w:val="1A3478EF"/>
    <w:rsid w:val="1A404921"/>
    <w:rsid w:val="1A441275"/>
    <w:rsid w:val="1A497C7A"/>
    <w:rsid w:val="1A4E423B"/>
    <w:rsid w:val="1A5F4F20"/>
    <w:rsid w:val="1A6C5716"/>
    <w:rsid w:val="1A6E5932"/>
    <w:rsid w:val="1A756CC1"/>
    <w:rsid w:val="1A7F6D10"/>
    <w:rsid w:val="1A82318C"/>
    <w:rsid w:val="1A8A3116"/>
    <w:rsid w:val="1AA102B3"/>
    <w:rsid w:val="1AA3612D"/>
    <w:rsid w:val="1AB24061"/>
    <w:rsid w:val="1AB86BAD"/>
    <w:rsid w:val="1ABD2416"/>
    <w:rsid w:val="1ABE60DC"/>
    <w:rsid w:val="1AC115C1"/>
    <w:rsid w:val="1AD03EF7"/>
    <w:rsid w:val="1AE04F3D"/>
    <w:rsid w:val="1AEA6B9B"/>
    <w:rsid w:val="1AF26AEE"/>
    <w:rsid w:val="1B0E2C71"/>
    <w:rsid w:val="1B133F19"/>
    <w:rsid w:val="1B1C503E"/>
    <w:rsid w:val="1B234BFC"/>
    <w:rsid w:val="1B410951"/>
    <w:rsid w:val="1B422280"/>
    <w:rsid w:val="1B427FE5"/>
    <w:rsid w:val="1B471BB4"/>
    <w:rsid w:val="1B5170C9"/>
    <w:rsid w:val="1B530DE0"/>
    <w:rsid w:val="1B550161"/>
    <w:rsid w:val="1B62226D"/>
    <w:rsid w:val="1B725EC4"/>
    <w:rsid w:val="1B762CF0"/>
    <w:rsid w:val="1B7805B3"/>
    <w:rsid w:val="1B7B4D09"/>
    <w:rsid w:val="1B85316B"/>
    <w:rsid w:val="1B872BE1"/>
    <w:rsid w:val="1BB04FFB"/>
    <w:rsid w:val="1BB92BDD"/>
    <w:rsid w:val="1BBC447B"/>
    <w:rsid w:val="1BC17E60"/>
    <w:rsid w:val="1BC8003D"/>
    <w:rsid w:val="1BC911A6"/>
    <w:rsid w:val="1BC93A93"/>
    <w:rsid w:val="1BCF2401"/>
    <w:rsid w:val="1BCF57C6"/>
    <w:rsid w:val="1BDB0A33"/>
    <w:rsid w:val="1BF216BB"/>
    <w:rsid w:val="1C0133B5"/>
    <w:rsid w:val="1C0A1419"/>
    <w:rsid w:val="1C0D4535"/>
    <w:rsid w:val="1C0F0A4F"/>
    <w:rsid w:val="1C1B5BBA"/>
    <w:rsid w:val="1C1E0870"/>
    <w:rsid w:val="1C1F5136"/>
    <w:rsid w:val="1C3C12DD"/>
    <w:rsid w:val="1C3C3AD1"/>
    <w:rsid w:val="1C3C518D"/>
    <w:rsid w:val="1C5149F0"/>
    <w:rsid w:val="1C5A7F55"/>
    <w:rsid w:val="1C6C2109"/>
    <w:rsid w:val="1C754EF6"/>
    <w:rsid w:val="1C7E20EC"/>
    <w:rsid w:val="1C8A6B97"/>
    <w:rsid w:val="1C98053E"/>
    <w:rsid w:val="1C9A0946"/>
    <w:rsid w:val="1CA14DAB"/>
    <w:rsid w:val="1CA528AA"/>
    <w:rsid w:val="1CA717DA"/>
    <w:rsid w:val="1CA87017"/>
    <w:rsid w:val="1CA94A00"/>
    <w:rsid w:val="1CB50725"/>
    <w:rsid w:val="1CC53D48"/>
    <w:rsid w:val="1CCB2BC8"/>
    <w:rsid w:val="1CD34D43"/>
    <w:rsid w:val="1CD53A47"/>
    <w:rsid w:val="1CD556E0"/>
    <w:rsid w:val="1CDE52E8"/>
    <w:rsid w:val="1CE65C54"/>
    <w:rsid w:val="1CEC5C0F"/>
    <w:rsid w:val="1CF10155"/>
    <w:rsid w:val="1CF33ECD"/>
    <w:rsid w:val="1CF71C0F"/>
    <w:rsid w:val="1CFA34AD"/>
    <w:rsid w:val="1CFE11EF"/>
    <w:rsid w:val="1CFF6D16"/>
    <w:rsid w:val="1D077978"/>
    <w:rsid w:val="1D0B56BA"/>
    <w:rsid w:val="1D0B6BCE"/>
    <w:rsid w:val="1D0C4F8F"/>
    <w:rsid w:val="1D10477E"/>
    <w:rsid w:val="1D156539"/>
    <w:rsid w:val="1D1713AD"/>
    <w:rsid w:val="1D296673"/>
    <w:rsid w:val="1D344C11"/>
    <w:rsid w:val="1D3A1AFC"/>
    <w:rsid w:val="1D3E50F1"/>
    <w:rsid w:val="1D3F35B6"/>
    <w:rsid w:val="1D4623C5"/>
    <w:rsid w:val="1D48481F"/>
    <w:rsid w:val="1D5D35EC"/>
    <w:rsid w:val="1D65666F"/>
    <w:rsid w:val="1D7C2114"/>
    <w:rsid w:val="1D7F1C04"/>
    <w:rsid w:val="1D835251"/>
    <w:rsid w:val="1D884F5D"/>
    <w:rsid w:val="1D8A21A3"/>
    <w:rsid w:val="1D8B67FB"/>
    <w:rsid w:val="1D8D4321"/>
    <w:rsid w:val="1D9F5E03"/>
    <w:rsid w:val="1DA665B1"/>
    <w:rsid w:val="1DA67191"/>
    <w:rsid w:val="1DA7423B"/>
    <w:rsid w:val="1DAB29F9"/>
    <w:rsid w:val="1DB12E28"/>
    <w:rsid w:val="1DB573D4"/>
    <w:rsid w:val="1DB96EC4"/>
    <w:rsid w:val="1DBC0763"/>
    <w:rsid w:val="1DBD7030"/>
    <w:rsid w:val="1DBF3F8F"/>
    <w:rsid w:val="1DC55869"/>
    <w:rsid w:val="1DC835AB"/>
    <w:rsid w:val="1DCB4E4A"/>
    <w:rsid w:val="1DD106B2"/>
    <w:rsid w:val="1DD91315"/>
    <w:rsid w:val="1DDA28A5"/>
    <w:rsid w:val="1DE63A32"/>
    <w:rsid w:val="1DF33B32"/>
    <w:rsid w:val="1DF517C5"/>
    <w:rsid w:val="1E171D05"/>
    <w:rsid w:val="1E1B192D"/>
    <w:rsid w:val="1E253DA2"/>
    <w:rsid w:val="1E2C09AB"/>
    <w:rsid w:val="1E3C4007"/>
    <w:rsid w:val="1E4470D6"/>
    <w:rsid w:val="1E452C0F"/>
    <w:rsid w:val="1E4B0B40"/>
    <w:rsid w:val="1E5D3489"/>
    <w:rsid w:val="1E5D4FF0"/>
    <w:rsid w:val="1E5E7A6C"/>
    <w:rsid w:val="1E6C5ED6"/>
    <w:rsid w:val="1E74728F"/>
    <w:rsid w:val="1E7B7F04"/>
    <w:rsid w:val="1E7F460D"/>
    <w:rsid w:val="1E92071C"/>
    <w:rsid w:val="1EA25BAA"/>
    <w:rsid w:val="1EA3481C"/>
    <w:rsid w:val="1EAA09B7"/>
    <w:rsid w:val="1EAC4C7B"/>
    <w:rsid w:val="1EC35090"/>
    <w:rsid w:val="1EC51899"/>
    <w:rsid w:val="1EC60780"/>
    <w:rsid w:val="1EC9216D"/>
    <w:rsid w:val="1ECF42FE"/>
    <w:rsid w:val="1ED02718"/>
    <w:rsid w:val="1EDD3086"/>
    <w:rsid w:val="1EDE0514"/>
    <w:rsid w:val="1EE959F7"/>
    <w:rsid w:val="1EEB57A3"/>
    <w:rsid w:val="1EF2589F"/>
    <w:rsid w:val="1EF46F84"/>
    <w:rsid w:val="1EFC7DF5"/>
    <w:rsid w:val="1EFD3FD2"/>
    <w:rsid w:val="1F071EB1"/>
    <w:rsid w:val="1F073C5F"/>
    <w:rsid w:val="1F0B7BF4"/>
    <w:rsid w:val="1F11610A"/>
    <w:rsid w:val="1F24662C"/>
    <w:rsid w:val="1F27355F"/>
    <w:rsid w:val="1F2E404A"/>
    <w:rsid w:val="1F330EF8"/>
    <w:rsid w:val="1F350764"/>
    <w:rsid w:val="1F40290D"/>
    <w:rsid w:val="1F4F2F4C"/>
    <w:rsid w:val="1F511F82"/>
    <w:rsid w:val="1F524732"/>
    <w:rsid w:val="1F5C6CBD"/>
    <w:rsid w:val="1F6121D1"/>
    <w:rsid w:val="1F6B355F"/>
    <w:rsid w:val="1F813A12"/>
    <w:rsid w:val="1F8B0A57"/>
    <w:rsid w:val="1F95570F"/>
    <w:rsid w:val="1FBF0F35"/>
    <w:rsid w:val="1FCC3E2D"/>
    <w:rsid w:val="1FD07165"/>
    <w:rsid w:val="1FD34A1A"/>
    <w:rsid w:val="1FD71884"/>
    <w:rsid w:val="1FDF0E0A"/>
    <w:rsid w:val="1FE46181"/>
    <w:rsid w:val="1FE65F7D"/>
    <w:rsid w:val="1FE8583F"/>
    <w:rsid w:val="1FF365EB"/>
    <w:rsid w:val="1FF91161"/>
    <w:rsid w:val="1FFA4E5E"/>
    <w:rsid w:val="1FFC753C"/>
    <w:rsid w:val="20000DDB"/>
    <w:rsid w:val="20014B53"/>
    <w:rsid w:val="20016F71"/>
    <w:rsid w:val="20120B0E"/>
    <w:rsid w:val="20142AD8"/>
    <w:rsid w:val="20147E9A"/>
    <w:rsid w:val="2020147D"/>
    <w:rsid w:val="202076CF"/>
    <w:rsid w:val="202A5E57"/>
    <w:rsid w:val="203171E6"/>
    <w:rsid w:val="20334F74"/>
    <w:rsid w:val="20341F1F"/>
    <w:rsid w:val="2039095B"/>
    <w:rsid w:val="203B62B7"/>
    <w:rsid w:val="2049683A"/>
    <w:rsid w:val="205229FE"/>
    <w:rsid w:val="20591670"/>
    <w:rsid w:val="207262C2"/>
    <w:rsid w:val="20727715"/>
    <w:rsid w:val="20740B35"/>
    <w:rsid w:val="20763782"/>
    <w:rsid w:val="207A64AC"/>
    <w:rsid w:val="207B66B3"/>
    <w:rsid w:val="2086738D"/>
    <w:rsid w:val="208760CF"/>
    <w:rsid w:val="2091237A"/>
    <w:rsid w:val="209537C9"/>
    <w:rsid w:val="20A43E5C"/>
    <w:rsid w:val="20AA63F0"/>
    <w:rsid w:val="20AB72FF"/>
    <w:rsid w:val="20AC5EC2"/>
    <w:rsid w:val="20B82D8A"/>
    <w:rsid w:val="20B87907"/>
    <w:rsid w:val="20BC7EC7"/>
    <w:rsid w:val="20BE2A44"/>
    <w:rsid w:val="20C56C1B"/>
    <w:rsid w:val="20C627FB"/>
    <w:rsid w:val="20D12777"/>
    <w:rsid w:val="20D72566"/>
    <w:rsid w:val="20E06E5E"/>
    <w:rsid w:val="20E24984"/>
    <w:rsid w:val="20F339E4"/>
    <w:rsid w:val="20F841A8"/>
    <w:rsid w:val="21035352"/>
    <w:rsid w:val="21160FA8"/>
    <w:rsid w:val="21167FB1"/>
    <w:rsid w:val="21242F74"/>
    <w:rsid w:val="212D5A86"/>
    <w:rsid w:val="213230B8"/>
    <w:rsid w:val="213663C9"/>
    <w:rsid w:val="213B2425"/>
    <w:rsid w:val="213C11DC"/>
    <w:rsid w:val="214E7CF6"/>
    <w:rsid w:val="21521B0A"/>
    <w:rsid w:val="21531388"/>
    <w:rsid w:val="215C7161"/>
    <w:rsid w:val="215D10D8"/>
    <w:rsid w:val="21645399"/>
    <w:rsid w:val="21676C37"/>
    <w:rsid w:val="216929AF"/>
    <w:rsid w:val="217A5F54"/>
    <w:rsid w:val="217C3A34"/>
    <w:rsid w:val="21815776"/>
    <w:rsid w:val="21836076"/>
    <w:rsid w:val="218872DA"/>
    <w:rsid w:val="218C669E"/>
    <w:rsid w:val="219807D1"/>
    <w:rsid w:val="219C4B33"/>
    <w:rsid w:val="21A14CE3"/>
    <w:rsid w:val="21A445D9"/>
    <w:rsid w:val="21A67760"/>
    <w:rsid w:val="21B7196D"/>
    <w:rsid w:val="21BE2CFB"/>
    <w:rsid w:val="21C627A6"/>
    <w:rsid w:val="21C82A17"/>
    <w:rsid w:val="21CA7CFF"/>
    <w:rsid w:val="21D42C0E"/>
    <w:rsid w:val="21D94A89"/>
    <w:rsid w:val="21DA38AD"/>
    <w:rsid w:val="21DA6CB2"/>
    <w:rsid w:val="21E604A4"/>
    <w:rsid w:val="21E62252"/>
    <w:rsid w:val="21E85FCA"/>
    <w:rsid w:val="21F41139"/>
    <w:rsid w:val="21F85783"/>
    <w:rsid w:val="21FE675A"/>
    <w:rsid w:val="21FF5919"/>
    <w:rsid w:val="22040FAA"/>
    <w:rsid w:val="220C2760"/>
    <w:rsid w:val="220C363D"/>
    <w:rsid w:val="221203D5"/>
    <w:rsid w:val="22121299"/>
    <w:rsid w:val="22124DF5"/>
    <w:rsid w:val="22293662"/>
    <w:rsid w:val="22350AE4"/>
    <w:rsid w:val="223C3399"/>
    <w:rsid w:val="22440D84"/>
    <w:rsid w:val="224514C9"/>
    <w:rsid w:val="224D0523"/>
    <w:rsid w:val="225450B1"/>
    <w:rsid w:val="2254540E"/>
    <w:rsid w:val="22547AE0"/>
    <w:rsid w:val="226352B2"/>
    <w:rsid w:val="226940D2"/>
    <w:rsid w:val="226C09A9"/>
    <w:rsid w:val="227117DF"/>
    <w:rsid w:val="227D2BB6"/>
    <w:rsid w:val="227D35EB"/>
    <w:rsid w:val="227E248B"/>
    <w:rsid w:val="227E7D84"/>
    <w:rsid w:val="22813D29"/>
    <w:rsid w:val="22857CBD"/>
    <w:rsid w:val="228F46A5"/>
    <w:rsid w:val="229121BE"/>
    <w:rsid w:val="229375BE"/>
    <w:rsid w:val="22A11BBD"/>
    <w:rsid w:val="22AC524A"/>
    <w:rsid w:val="22AD4B1E"/>
    <w:rsid w:val="22B861C7"/>
    <w:rsid w:val="22BA533A"/>
    <w:rsid w:val="22BC3B4B"/>
    <w:rsid w:val="22CE7B98"/>
    <w:rsid w:val="22D4593A"/>
    <w:rsid w:val="22E83DA8"/>
    <w:rsid w:val="22F5590A"/>
    <w:rsid w:val="23056708"/>
    <w:rsid w:val="2318004D"/>
    <w:rsid w:val="231921B3"/>
    <w:rsid w:val="232474D6"/>
    <w:rsid w:val="233D40F4"/>
    <w:rsid w:val="234563DA"/>
    <w:rsid w:val="23546267"/>
    <w:rsid w:val="23607DE2"/>
    <w:rsid w:val="236553F8"/>
    <w:rsid w:val="23767606"/>
    <w:rsid w:val="237A0060"/>
    <w:rsid w:val="237D6BE6"/>
    <w:rsid w:val="238B4E5F"/>
    <w:rsid w:val="23920DAE"/>
    <w:rsid w:val="23957A8C"/>
    <w:rsid w:val="239857CE"/>
    <w:rsid w:val="23C0592D"/>
    <w:rsid w:val="23C245F9"/>
    <w:rsid w:val="23C71C0F"/>
    <w:rsid w:val="23C749AA"/>
    <w:rsid w:val="23C766A2"/>
    <w:rsid w:val="23CC15EC"/>
    <w:rsid w:val="23CE11F0"/>
    <w:rsid w:val="23D031BA"/>
    <w:rsid w:val="23D20962"/>
    <w:rsid w:val="23DA7710"/>
    <w:rsid w:val="23DF1817"/>
    <w:rsid w:val="23F27616"/>
    <w:rsid w:val="23F42F35"/>
    <w:rsid w:val="23FC0F43"/>
    <w:rsid w:val="24046E0A"/>
    <w:rsid w:val="24065C9F"/>
    <w:rsid w:val="24136E48"/>
    <w:rsid w:val="24142639"/>
    <w:rsid w:val="24172B97"/>
    <w:rsid w:val="24217795"/>
    <w:rsid w:val="242552B4"/>
    <w:rsid w:val="242D5B59"/>
    <w:rsid w:val="242E677E"/>
    <w:rsid w:val="242F7EE0"/>
    <w:rsid w:val="24333320"/>
    <w:rsid w:val="24396F58"/>
    <w:rsid w:val="24452439"/>
    <w:rsid w:val="24453C6E"/>
    <w:rsid w:val="244B0A92"/>
    <w:rsid w:val="24661428"/>
    <w:rsid w:val="246C6F2D"/>
    <w:rsid w:val="246D27B7"/>
    <w:rsid w:val="24744E3D"/>
    <w:rsid w:val="247A4393"/>
    <w:rsid w:val="247C7E81"/>
    <w:rsid w:val="249146F7"/>
    <w:rsid w:val="2494698B"/>
    <w:rsid w:val="249C2E52"/>
    <w:rsid w:val="24AD3DD7"/>
    <w:rsid w:val="24B7520A"/>
    <w:rsid w:val="24C00C3B"/>
    <w:rsid w:val="24C03D26"/>
    <w:rsid w:val="24C71863"/>
    <w:rsid w:val="24D10CE0"/>
    <w:rsid w:val="24D74DFF"/>
    <w:rsid w:val="24D77518"/>
    <w:rsid w:val="24DB2370"/>
    <w:rsid w:val="24E011DB"/>
    <w:rsid w:val="24E7426A"/>
    <w:rsid w:val="24EF18B0"/>
    <w:rsid w:val="24EF58C2"/>
    <w:rsid w:val="24F15196"/>
    <w:rsid w:val="24F627AC"/>
    <w:rsid w:val="24F815FD"/>
    <w:rsid w:val="251B5A7D"/>
    <w:rsid w:val="251B66B7"/>
    <w:rsid w:val="252E1F46"/>
    <w:rsid w:val="25331C52"/>
    <w:rsid w:val="25375518"/>
    <w:rsid w:val="253A4D8F"/>
    <w:rsid w:val="25441769"/>
    <w:rsid w:val="254805FA"/>
    <w:rsid w:val="254867B0"/>
    <w:rsid w:val="2553373E"/>
    <w:rsid w:val="255A0F8D"/>
    <w:rsid w:val="255F0B60"/>
    <w:rsid w:val="25634C1F"/>
    <w:rsid w:val="25667CC0"/>
    <w:rsid w:val="257162D7"/>
    <w:rsid w:val="25720F59"/>
    <w:rsid w:val="25754019"/>
    <w:rsid w:val="257A518B"/>
    <w:rsid w:val="25981AB5"/>
    <w:rsid w:val="259C15A5"/>
    <w:rsid w:val="25A07EAF"/>
    <w:rsid w:val="25AB23F1"/>
    <w:rsid w:val="25AE752B"/>
    <w:rsid w:val="25B65CDE"/>
    <w:rsid w:val="25CD79B1"/>
    <w:rsid w:val="25CE197B"/>
    <w:rsid w:val="25CF7AC3"/>
    <w:rsid w:val="25D9690F"/>
    <w:rsid w:val="25DF1492"/>
    <w:rsid w:val="25E87895"/>
    <w:rsid w:val="25EA54D7"/>
    <w:rsid w:val="261B7D67"/>
    <w:rsid w:val="2625613D"/>
    <w:rsid w:val="26307F40"/>
    <w:rsid w:val="26323CB8"/>
    <w:rsid w:val="263B7010"/>
    <w:rsid w:val="263D7484"/>
    <w:rsid w:val="263E05BB"/>
    <w:rsid w:val="264659B5"/>
    <w:rsid w:val="266C7292"/>
    <w:rsid w:val="267050F7"/>
    <w:rsid w:val="267267AA"/>
    <w:rsid w:val="267C511F"/>
    <w:rsid w:val="268004A5"/>
    <w:rsid w:val="268D76A1"/>
    <w:rsid w:val="268F16F6"/>
    <w:rsid w:val="26971D6D"/>
    <w:rsid w:val="269A360B"/>
    <w:rsid w:val="269E1A32"/>
    <w:rsid w:val="26B02E2F"/>
    <w:rsid w:val="26B367D2"/>
    <w:rsid w:val="26B7240F"/>
    <w:rsid w:val="26C36575"/>
    <w:rsid w:val="26C954B6"/>
    <w:rsid w:val="26CB381B"/>
    <w:rsid w:val="26CD1820"/>
    <w:rsid w:val="26D92202"/>
    <w:rsid w:val="26DB7EAB"/>
    <w:rsid w:val="26FB67A0"/>
    <w:rsid w:val="27072AF5"/>
    <w:rsid w:val="270F224B"/>
    <w:rsid w:val="27191F1D"/>
    <w:rsid w:val="271B474C"/>
    <w:rsid w:val="272730F1"/>
    <w:rsid w:val="27275861"/>
    <w:rsid w:val="272A0E33"/>
    <w:rsid w:val="2734623E"/>
    <w:rsid w:val="273A72C8"/>
    <w:rsid w:val="273B3040"/>
    <w:rsid w:val="2741608F"/>
    <w:rsid w:val="274641AE"/>
    <w:rsid w:val="274B743E"/>
    <w:rsid w:val="27506C7C"/>
    <w:rsid w:val="27545EB0"/>
    <w:rsid w:val="27550294"/>
    <w:rsid w:val="275B2D9A"/>
    <w:rsid w:val="276B215E"/>
    <w:rsid w:val="27767BD4"/>
    <w:rsid w:val="277B168E"/>
    <w:rsid w:val="277B4C0F"/>
    <w:rsid w:val="277C578B"/>
    <w:rsid w:val="277D0F63"/>
    <w:rsid w:val="2782526C"/>
    <w:rsid w:val="27853ACA"/>
    <w:rsid w:val="278C73F8"/>
    <w:rsid w:val="279369D8"/>
    <w:rsid w:val="2795189C"/>
    <w:rsid w:val="279822AD"/>
    <w:rsid w:val="279B3ADF"/>
    <w:rsid w:val="27A637D6"/>
    <w:rsid w:val="27AC5CEC"/>
    <w:rsid w:val="27B801ED"/>
    <w:rsid w:val="27DD7C53"/>
    <w:rsid w:val="27EC3814"/>
    <w:rsid w:val="27ED1213"/>
    <w:rsid w:val="27F136FF"/>
    <w:rsid w:val="27F5615A"/>
    <w:rsid w:val="280A1770"/>
    <w:rsid w:val="281C077C"/>
    <w:rsid w:val="282C4A58"/>
    <w:rsid w:val="283D0324"/>
    <w:rsid w:val="283E3497"/>
    <w:rsid w:val="28414686"/>
    <w:rsid w:val="284611E4"/>
    <w:rsid w:val="28485A15"/>
    <w:rsid w:val="284B2E0F"/>
    <w:rsid w:val="285D1A51"/>
    <w:rsid w:val="2879797C"/>
    <w:rsid w:val="287C35CD"/>
    <w:rsid w:val="287F651A"/>
    <w:rsid w:val="28811C77"/>
    <w:rsid w:val="288503DE"/>
    <w:rsid w:val="2886653D"/>
    <w:rsid w:val="289945FD"/>
    <w:rsid w:val="289B4FEC"/>
    <w:rsid w:val="28A050AD"/>
    <w:rsid w:val="28A075FF"/>
    <w:rsid w:val="28B54995"/>
    <w:rsid w:val="28B85AE0"/>
    <w:rsid w:val="28BE7A85"/>
    <w:rsid w:val="28C52BC1"/>
    <w:rsid w:val="28C55834"/>
    <w:rsid w:val="28C57065"/>
    <w:rsid w:val="28CA0AA8"/>
    <w:rsid w:val="28CB7C6C"/>
    <w:rsid w:val="28D23530"/>
    <w:rsid w:val="28E02F21"/>
    <w:rsid w:val="28E10F4A"/>
    <w:rsid w:val="28ED3EC6"/>
    <w:rsid w:val="28F54D5D"/>
    <w:rsid w:val="290465FA"/>
    <w:rsid w:val="29051715"/>
    <w:rsid w:val="290A0F1C"/>
    <w:rsid w:val="291D29FD"/>
    <w:rsid w:val="29263F95"/>
    <w:rsid w:val="292673D8"/>
    <w:rsid w:val="292E4AA1"/>
    <w:rsid w:val="29312005"/>
    <w:rsid w:val="2931289E"/>
    <w:rsid w:val="293146FB"/>
    <w:rsid w:val="2931551D"/>
    <w:rsid w:val="29356202"/>
    <w:rsid w:val="293B2E83"/>
    <w:rsid w:val="293B3139"/>
    <w:rsid w:val="29432F32"/>
    <w:rsid w:val="294855A0"/>
    <w:rsid w:val="294D69CF"/>
    <w:rsid w:val="295226B4"/>
    <w:rsid w:val="29592809"/>
    <w:rsid w:val="297C5B53"/>
    <w:rsid w:val="297D3E85"/>
    <w:rsid w:val="29831732"/>
    <w:rsid w:val="29833490"/>
    <w:rsid w:val="298D292B"/>
    <w:rsid w:val="299C1A0A"/>
    <w:rsid w:val="299D6956"/>
    <w:rsid w:val="29AE18A7"/>
    <w:rsid w:val="29B41849"/>
    <w:rsid w:val="29C2680C"/>
    <w:rsid w:val="29C76E0D"/>
    <w:rsid w:val="29CC3293"/>
    <w:rsid w:val="29D54FEB"/>
    <w:rsid w:val="29DD3F3B"/>
    <w:rsid w:val="29DF4157"/>
    <w:rsid w:val="29E06E13"/>
    <w:rsid w:val="29EB4DA4"/>
    <w:rsid w:val="29F14929"/>
    <w:rsid w:val="29F234A6"/>
    <w:rsid w:val="2A007ADE"/>
    <w:rsid w:val="2A070FB7"/>
    <w:rsid w:val="2A092F82"/>
    <w:rsid w:val="2A2674CE"/>
    <w:rsid w:val="2A2F5830"/>
    <w:rsid w:val="2A3021CB"/>
    <w:rsid w:val="2A3D1EAC"/>
    <w:rsid w:val="2A3D7746"/>
    <w:rsid w:val="2A4A43BA"/>
    <w:rsid w:val="2A4C3D1D"/>
    <w:rsid w:val="2A4D10C0"/>
    <w:rsid w:val="2A4E0D8B"/>
    <w:rsid w:val="2A5753CF"/>
    <w:rsid w:val="2A5F08A1"/>
    <w:rsid w:val="2A7B715C"/>
    <w:rsid w:val="2A7C0503"/>
    <w:rsid w:val="2A7E6069"/>
    <w:rsid w:val="2A842608"/>
    <w:rsid w:val="2A905237"/>
    <w:rsid w:val="2A97058D"/>
    <w:rsid w:val="2AA4545A"/>
    <w:rsid w:val="2AC04D73"/>
    <w:rsid w:val="2AC15824"/>
    <w:rsid w:val="2AC2715F"/>
    <w:rsid w:val="2ACC69F4"/>
    <w:rsid w:val="2ACD2717"/>
    <w:rsid w:val="2AE01D39"/>
    <w:rsid w:val="2AE15CAC"/>
    <w:rsid w:val="2AE65F68"/>
    <w:rsid w:val="2AF35539"/>
    <w:rsid w:val="2AF62C5A"/>
    <w:rsid w:val="2AFA0F25"/>
    <w:rsid w:val="2B006133"/>
    <w:rsid w:val="2B0B4AD7"/>
    <w:rsid w:val="2B0F6376"/>
    <w:rsid w:val="2B172F6C"/>
    <w:rsid w:val="2B250602"/>
    <w:rsid w:val="2B255093"/>
    <w:rsid w:val="2B275DB5"/>
    <w:rsid w:val="2B2E4BD9"/>
    <w:rsid w:val="2B3109E2"/>
    <w:rsid w:val="2B3F48E2"/>
    <w:rsid w:val="2B4B3ABC"/>
    <w:rsid w:val="2B4C581C"/>
    <w:rsid w:val="2B595843"/>
    <w:rsid w:val="2B5B5A5F"/>
    <w:rsid w:val="2B605661"/>
    <w:rsid w:val="2B6120FD"/>
    <w:rsid w:val="2B665001"/>
    <w:rsid w:val="2B69017C"/>
    <w:rsid w:val="2B6B0546"/>
    <w:rsid w:val="2B807273"/>
    <w:rsid w:val="2B996587"/>
    <w:rsid w:val="2BA32F62"/>
    <w:rsid w:val="2BB533C1"/>
    <w:rsid w:val="2BC6078F"/>
    <w:rsid w:val="2BC8137F"/>
    <w:rsid w:val="2BC96989"/>
    <w:rsid w:val="2BD4136D"/>
    <w:rsid w:val="2BD428F7"/>
    <w:rsid w:val="2BE31239"/>
    <w:rsid w:val="2BFA7026"/>
    <w:rsid w:val="2BFC0E01"/>
    <w:rsid w:val="2BFC7FDF"/>
    <w:rsid w:val="2C0734F1"/>
    <w:rsid w:val="2C1F31A0"/>
    <w:rsid w:val="2C2C73FB"/>
    <w:rsid w:val="2C386B25"/>
    <w:rsid w:val="2C412939"/>
    <w:rsid w:val="2C474BC9"/>
    <w:rsid w:val="2C5A3F68"/>
    <w:rsid w:val="2C627EF5"/>
    <w:rsid w:val="2C644458"/>
    <w:rsid w:val="2C673F8F"/>
    <w:rsid w:val="2C730E72"/>
    <w:rsid w:val="2C7E05A5"/>
    <w:rsid w:val="2C870C74"/>
    <w:rsid w:val="2C887236"/>
    <w:rsid w:val="2C951A30"/>
    <w:rsid w:val="2C985B8A"/>
    <w:rsid w:val="2C9A5FDA"/>
    <w:rsid w:val="2C9C70D0"/>
    <w:rsid w:val="2CA27370"/>
    <w:rsid w:val="2CA4764A"/>
    <w:rsid w:val="2CAC5533"/>
    <w:rsid w:val="2CB53746"/>
    <w:rsid w:val="2CB847EB"/>
    <w:rsid w:val="2CC66983"/>
    <w:rsid w:val="2CC918BF"/>
    <w:rsid w:val="2CCA0AB3"/>
    <w:rsid w:val="2CCA7B5F"/>
    <w:rsid w:val="2CCD0296"/>
    <w:rsid w:val="2CCD397D"/>
    <w:rsid w:val="2CD32013"/>
    <w:rsid w:val="2CD37CD6"/>
    <w:rsid w:val="2CE13D42"/>
    <w:rsid w:val="2CE25D5B"/>
    <w:rsid w:val="2CEC3457"/>
    <w:rsid w:val="2CF76522"/>
    <w:rsid w:val="2D085772"/>
    <w:rsid w:val="2D15669A"/>
    <w:rsid w:val="2D177764"/>
    <w:rsid w:val="2D1E0AF2"/>
    <w:rsid w:val="2D1E4F96"/>
    <w:rsid w:val="2D207B7D"/>
    <w:rsid w:val="2D2776ED"/>
    <w:rsid w:val="2D2B1E42"/>
    <w:rsid w:val="2D3348DD"/>
    <w:rsid w:val="2D382F2D"/>
    <w:rsid w:val="2D3C6568"/>
    <w:rsid w:val="2D3E73E6"/>
    <w:rsid w:val="2D44235C"/>
    <w:rsid w:val="2D4F6EFD"/>
    <w:rsid w:val="2D5A7975"/>
    <w:rsid w:val="2D5E3590"/>
    <w:rsid w:val="2D6F75A0"/>
    <w:rsid w:val="2D8079FF"/>
    <w:rsid w:val="2D87279C"/>
    <w:rsid w:val="2D8943D5"/>
    <w:rsid w:val="2D9E60D7"/>
    <w:rsid w:val="2DA46CC3"/>
    <w:rsid w:val="2DAB2138"/>
    <w:rsid w:val="2DB81853"/>
    <w:rsid w:val="2DBB4593"/>
    <w:rsid w:val="2DBE22D5"/>
    <w:rsid w:val="2DC4273E"/>
    <w:rsid w:val="2DC45B3D"/>
    <w:rsid w:val="2DD16827"/>
    <w:rsid w:val="2DD31B0C"/>
    <w:rsid w:val="2DD815E9"/>
    <w:rsid w:val="2DD90EBD"/>
    <w:rsid w:val="2DE51610"/>
    <w:rsid w:val="2DE57862"/>
    <w:rsid w:val="2DEA43E5"/>
    <w:rsid w:val="2DEF2E40"/>
    <w:rsid w:val="2DF30421"/>
    <w:rsid w:val="2DFB0E33"/>
    <w:rsid w:val="2DFD467B"/>
    <w:rsid w:val="2E045F3A"/>
    <w:rsid w:val="2E0777D8"/>
    <w:rsid w:val="2E162111"/>
    <w:rsid w:val="2E19750B"/>
    <w:rsid w:val="2E2F0F94"/>
    <w:rsid w:val="2E3D31FA"/>
    <w:rsid w:val="2E563F31"/>
    <w:rsid w:val="2E5B7B24"/>
    <w:rsid w:val="2E6E246B"/>
    <w:rsid w:val="2E734208"/>
    <w:rsid w:val="2E76495E"/>
    <w:rsid w:val="2E7C64A6"/>
    <w:rsid w:val="2E81173B"/>
    <w:rsid w:val="2E842D88"/>
    <w:rsid w:val="2E867639"/>
    <w:rsid w:val="2E88090E"/>
    <w:rsid w:val="2E9337BD"/>
    <w:rsid w:val="2E987D9C"/>
    <w:rsid w:val="2E9D1346"/>
    <w:rsid w:val="2EAB2859"/>
    <w:rsid w:val="2EAB3F94"/>
    <w:rsid w:val="2EB23BE8"/>
    <w:rsid w:val="2EB72FAC"/>
    <w:rsid w:val="2EB857A7"/>
    <w:rsid w:val="2EBA4DCF"/>
    <w:rsid w:val="2EC5504A"/>
    <w:rsid w:val="2EC56494"/>
    <w:rsid w:val="2ED3590C"/>
    <w:rsid w:val="2EEA0593"/>
    <w:rsid w:val="2EF30CD1"/>
    <w:rsid w:val="2EF35FAE"/>
    <w:rsid w:val="2EFB7C1F"/>
    <w:rsid w:val="2F0D7070"/>
    <w:rsid w:val="2F120B2A"/>
    <w:rsid w:val="2F18227C"/>
    <w:rsid w:val="2F227363"/>
    <w:rsid w:val="2F230C14"/>
    <w:rsid w:val="2F23325F"/>
    <w:rsid w:val="2F291164"/>
    <w:rsid w:val="2F2A7C22"/>
    <w:rsid w:val="2F3161D1"/>
    <w:rsid w:val="2F340AA1"/>
    <w:rsid w:val="2F414F6C"/>
    <w:rsid w:val="2F475C33"/>
    <w:rsid w:val="2F4B5DEA"/>
    <w:rsid w:val="2F5514EF"/>
    <w:rsid w:val="2F5D680A"/>
    <w:rsid w:val="2F5D7AD7"/>
    <w:rsid w:val="2F6E759F"/>
    <w:rsid w:val="2F6F1AD9"/>
    <w:rsid w:val="2F745A7A"/>
    <w:rsid w:val="2F767465"/>
    <w:rsid w:val="2F7907A6"/>
    <w:rsid w:val="2F98718A"/>
    <w:rsid w:val="2FAB43B4"/>
    <w:rsid w:val="2FAE339E"/>
    <w:rsid w:val="2FCA2A56"/>
    <w:rsid w:val="2FCB1430"/>
    <w:rsid w:val="2FCE7E34"/>
    <w:rsid w:val="2FD03DD6"/>
    <w:rsid w:val="2FD1009E"/>
    <w:rsid w:val="2FD44032"/>
    <w:rsid w:val="2FD80C3D"/>
    <w:rsid w:val="2FE07E24"/>
    <w:rsid w:val="2FE14059"/>
    <w:rsid w:val="2FE55D75"/>
    <w:rsid w:val="2FE801F5"/>
    <w:rsid w:val="2FEC137B"/>
    <w:rsid w:val="300D423C"/>
    <w:rsid w:val="302A5A00"/>
    <w:rsid w:val="303E14AB"/>
    <w:rsid w:val="3041043C"/>
    <w:rsid w:val="304B42F4"/>
    <w:rsid w:val="304E3F09"/>
    <w:rsid w:val="304F4678"/>
    <w:rsid w:val="306308D3"/>
    <w:rsid w:val="306656DF"/>
    <w:rsid w:val="30771A27"/>
    <w:rsid w:val="307A0735"/>
    <w:rsid w:val="307A24E3"/>
    <w:rsid w:val="307C74B9"/>
    <w:rsid w:val="3085324C"/>
    <w:rsid w:val="3096497E"/>
    <w:rsid w:val="30973150"/>
    <w:rsid w:val="309B6A99"/>
    <w:rsid w:val="30A534A7"/>
    <w:rsid w:val="30A84B12"/>
    <w:rsid w:val="30AF36AB"/>
    <w:rsid w:val="30B579BF"/>
    <w:rsid w:val="30B61F8D"/>
    <w:rsid w:val="30BA3228"/>
    <w:rsid w:val="30C6397A"/>
    <w:rsid w:val="30C90165"/>
    <w:rsid w:val="30D836AE"/>
    <w:rsid w:val="30DA175C"/>
    <w:rsid w:val="30E54AC5"/>
    <w:rsid w:val="30E87D95"/>
    <w:rsid w:val="31031BD8"/>
    <w:rsid w:val="31101099"/>
    <w:rsid w:val="311340B0"/>
    <w:rsid w:val="311443AC"/>
    <w:rsid w:val="311C7A3E"/>
    <w:rsid w:val="31215055"/>
    <w:rsid w:val="31216B60"/>
    <w:rsid w:val="31216E03"/>
    <w:rsid w:val="31230DCD"/>
    <w:rsid w:val="31327262"/>
    <w:rsid w:val="31350B00"/>
    <w:rsid w:val="314B20D2"/>
    <w:rsid w:val="314D58BA"/>
    <w:rsid w:val="314F1BC2"/>
    <w:rsid w:val="315A2315"/>
    <w:rsid w:val="31626A0C"/>
    <w:rsid w:val="3163741B"/>
    <w:rsid w:val="316E7B6E"/>
    <w:rsid w:val="317B1C43"/>
    <w:rsid w:val="31886D39"/>
    <w:rsid w:val="31887E02"/>
    <w:rsid w:val="318B24CE"/>
    <w:rsid w:val="318D3BE5"/>
    <w:rsid w:val="319E0453"/>
    <w:rsid w:val="31C81974"/>
    <w:rsid w:val="31C84926"/>
    <w:rsid w:val="31CE331C"/>
    <w:rsid w:val="31E57E30"/>
    <w:rsid w:val="31E63BA8"/>
    <w:rsid w:val="31E85B2B"/>
    <w:rsid w:val="31E85B72"/>
    <w:rsid w:val="31EF4A49"/>
    <w:rsid w:val="31EF5153"/>
    <w:rsid w:val="31FF3605"/>
    <w:rsid w:val="32024956"/>
    <w:rsid w:val="3207424B"/>
    <w:rsid w:val="320764CF"/>
    <w:rsid w:val="320E05F2"/>
    <w:rsid w:val="32135C33"/>
    <w:rsid w:val="321E77E6"/>
    <w:rsid w:val="322356F3"/>
    <w:rsid w:val="32236BAB"/>
    <w:rsid w:val="32242987"/>
    <w:rsid w:val="32336D11"/>
    <w:rsid w:val="3239017C"/>
    <w:rsid w:val="323A7166"/>
    <w:rsid w:val="323C4F1C"/>
    <w:rsid w:val="32444015"/>
    <w:rsid w:val="324C4353"/>
    <w:rsid w:val="324E2FF7"/>
    <w:rsid w:val="324E3C27"/>
    <w:rsid w:val="324E7405"/>
    <w:rsid w:val="324F174E"/>
    <w:rsid w:val="3264169D"/>
    <w:rsid w:val="326A47D9"/>
    <w:rsid w:val="326D47C3"/>
    <w:rsid w:val="3274427F"/>
    <w:rsid w:val="32747450"/>
    <w:rsid w:val="327D4EA8"/>
    <w:rsid w:val="328A0B0B"/>
    <w:rsid w:val="328E2276"/>
    <w:rsid w:val="3292439E"/>
    <w:rsid w:val="32937621"/>
    <w:rsid w:val="32990C1B"/>
    <w:rsid w:val="32A0199A"/>
    <w:rsid w:val="32A10EC5"/>
    <w:rsid w:val="32A221C5"/>
    <w:rsid w:val="32A71272"/>
    <w:rsid w:val="32A965AC"/>
    <w:rsid w:val="32A97B59"/>
    <w:rsid w:val="32B0749D"/>
    <w:rsid w:val="32BF4B25"/>
    <w:rsid w:val="32CD19E7"/>
    <w:rsid w:val="32CE2FBA"/>
    <w:rsid w:val="32D2023D"/>
    <w:rsid w:val="32DA5931"/>
    <w:rsid w:val="32DC6B45"/>
    <w:rsid w:val="32E15F1F"/>
    <w:rsid w:val="32F23106"/>
    <w:rsid w:val="32F30352"/>
    <w:rsid w:val="32F742BF"/>
    <w:rsid w:val="33263E15"/>
    <w:rsid w:val="33386686"/>
    <w:rsid w:val="334A4996"/>
    <w:rsid w:val="334F40FB"/>
    <w:rsid w:val="33546B69"/>
    <w:rsid w:val="3361168D"/>
    <w:rsid w:val="33672C11"/>
    <w:rsid w:val="336D215D"/>
    <w:rsid w:val="33707BCD"/>
    <w:rsid w:val="33A361F5"/>
    <w:rsid w:val="33A37952"/>
    <w:rsid w:val="33A74365"/>
    <w:rsid w:val="33B30055"/>
    <w:rsid w:val="33B823EE"/>
    <w:rsid w:val="33C1105F"/>
    <w:rsid w:val="33D0525E"/>
    <w:rsid w:val="33D47F03"/>
    <w:rsid w:val="33D60378"/>
    <w:rsid w:val="33E72A3C"/>
    <w:rsid w:val="33E92AFF"/>
    <w:rsid w:val="33F5523E"/>
    <w:rsid w:val="33FB393B"/>
    <w:rsid w:val="340842AA"/>
    <w:rsid w:val="34160775"/>
    <w:rsid w:val="34180A26"/>
    <w:rsid w:val="342B47DF"/>
    <w:rsid w:val="34316D0C"/>
    <w:rsid w:val="34360E17"/>
    <w:rsid w:val="3439166F"/>
    <w:rsid w:val="343A03A1"/>
    <w:rsid w:val="344E53B3"/>
    <w:rsid w:val="344F3C87"/>
    <w:rsid w:val="34514203"/>
    <w:rsid w:val="345319C9"/>
    <w:rsid w:val="345968B4"/>
    <w:rsid w:val="346029D9"/>
    <w:rsid w:val="34612C9B"/>
    <w:rsid w:val="3465020F"/>
    <w:rsid w:val="34684D49"/>
    <w:rsid w:val="346F257B"/>
    <w:rsid w:val="347B0F20"/>
    <w:rsid w:val="34880F47"/>
    <w:rsid w:val="3491636D"/>
    <w:rsid w:val="34955FC5"/>
    <w:rsid w:val="34A51A8A"/>
    <w:rsid w:val="34A75871"/>
    <w:rsid w:val="34A957B3"/>
    <w:rsid w:val="34AB2D56"/>
    <w:rsid w:val="34B46BC1"/>
    <w:rsid w:val="34B951A7"/>
    <w:rsid w:val="34BA37F6"/>
    <w:rsid w:val="34BD50C3"/>
    <w:rsid w:val="34D4418C"/>
    <w:rsid w:val="34DD74E5"/>
    <w:rsid w:val="34E7379D"/>
    <w:rsid w:val="34EE524E"/>
    <w:rsid w:val="34F128AA"/>
    <w:rsid w:val="34F624D5"/>
    <w:rsid w:val="34FC3E0F"/>
    <w:rsid w:val="350375D5"/>
    <w:rsid w:val="350631DB"/>
    <w:rsid w:val="350F20E5"/>
    <w:rsid w:val="35125721"/>
    <w:rsid w:val="35130365"/>
    <w:rsid w:val="3514654F"/>
    <w:rsid w:val="352B0250"/>
    <w:rsid w:val="352D0006"/>
    <w:rsid w:val="353B650D"/>
    <w:rsid w:val="353D1D87"/>
    <w:rsid w:val="35466137"/>
    <w:rsid w:val="354E03E2"/>
    <w:rsid w:val="355372B5"/>
    <w:rsid w:val="35556D27"/>
    <w:rsid w:val="35675000"/>
    <w:rsid w:val="356B4AF0"/>
    <w:rsid w:val="35736B28"/>
    <w:rsid w:val="35755346"/>
    <w:rsid w:val="358E6A31"/>
    <w:rsid w:val="35935DF5"/>
    <w:rsid w:val="35980CEA"/>
    <w:rsid w:val="359A53D6"/>
    <w:rsid w:val="359D3DD6"/>
    <w:rsid w:val="35AA386B"/>
    <w:rsid w:val="35AA7824"/>
    <w:rsid w:val="35B355F7"/>
    <w:rsid w:val="35B54FC1"/>
    <w:rsid w:val="35C35199"/>
    <w:rsid w:val="35D52D8F"/>
    <w:rsid w:val="35D77B6F"/>
    <w:rsid w:val="35DE52C2"/>
    <w:rsid w:val="35E0162E"/>
    <w:rsid w:val="35E13004"/>
    <w:rsid w:val="35E54EB8"/>
    <w:rsid w:val="35F3533C"/>
    <w:rsid w:val="35FA6B4E"/>
    <w:rsid w:val="36010FB1"/>
    <w:rsid w:val="36070A05"/>
    <w:rsid w:val="36080591"/>
    <w:rsid w:val="36085BBD"/>
    <w:rsid w:val="36090513"/>
    <w:rsid w:val="360F18B9"/>
    <w:rsid w:val="361407EE"/>
    <w:rsid w:val="361C4ADE"/>
    <w:rsid w:val="3622785B"/>
    <w:rsid w:val="36274EBB"/>
    <w:rsid w:val="363119F3"/>
    <w:rsid w:val="36320C61"/>
    <w:rsid w:val="3632560E"/>
    <w:rsid w:val="363447DC"/>
    <w:rsid w:val="363A4876"/>
    <w:rsid w:val="36401AD9"/>
    <w:rsid w:val="36445017"/>
    <w:rsid w:val="364C6B48"/>
    <w:rsid w:val="36613C6E"/>
    <w:rsid w:val="366652B8"/>
    <w:rsid w:val="36722148"/>
    <w:rsid w:val="367C4949"/>
    <w:rsid w:val="368C2F70"/>
    <w:rsid w:val="368D1CE8"/>
    <w:rsid w:val="36A007CA"/>
    <w:rsid w:val="36AC63D6"/>
    <w:rsid w:val="36AF42DB"/>
    <w:rsid w:val="36AF6C5F"/>
    <w:rsid w:val="36B414C2"/>
    <w:rsid w:val="36B605B6"/>
    <w:rsid w:val="36B85B13"/>
    <w:rsid w:val="36BD4F8F"/>
    <w:rsid w:val="36CE6307"/>
    <w:rsid w:val="36CF1624"/>
    <w:rsid w:val="36D863C5"/>
    <w:rsid w:val="36DA0180"/>
    <w:rsid w:val="36E7289C"/>
    <w:rsid w:val="36F45251"/>
    <w:rsid w:val="36FD472F"/>
    <w:rsid w:val="370370EF"/>
    <w:rsid w:val="370413FA"/>
    <w:rsid w:val="370C38B4"/>
    <w:rsid w:val="370D5FB7"/>
    <w:rsid w:val="37152F66"/>
    <w:rsid w:val="371A46F8"/>
    <w:rsid w:val="372C02AF"/>
    <w:rsid w:val="372D70E3"/>
    <w:rsid w:val="37386C54"/>
    <w:rsid w:val="373B04F2"/>
    <w:rsid w:val="373B49B3"/>
    <w:rsid w:val="3741004C"/>
    <w:rsid w:val="37440DDD"/>
    <w:rsid w:val="3748781D"/>
    <w:rsid w:val="374B2E2B"/>
    <w:rsid w:val="375515B4"/>
    <w:rsid w:val="37587B5C"/>
    <w:rsid w:val="376F7A7E"/>
    <w:rsid w:val="377243F9"/>
    <w:rsid w:val="37737058"/>
    <w:rsid w:val="37753923"/>
    <w:rsid w:val="377B0BFB"/>
    <w:rsid w:val="377D0B0B"/>
    <w:rsid w:val="377E0688"/>
    <w:rsid w:val="37863D5E"/>
    <w:rsid w:val="378B3228"/>
    <w:rsid w:val="378B3B8A"/>
    <w:rsid w:val="379320DC"/>
    <w:rsid w:val="37971BCD"/>
    <w:rsid w:val="37A612C3"/>
    <w:rsid w:val="37CB5D1A"/>
    <w:rsid w:val="37D06A81"/>
    <w:rsid w:val="37D22C05"/>
    <w:rsid w:val="37DF6106"/>
    <w:rsid w:val="37E2302C"/>
    <w:rsid w:val="37E64902"/>
    <w:rsid w:val="37E704A8"/>
    <w:rsid w:val="380C578B"/>
    <w:rsid w:val="3810197F"/>
    <w:rsid w:val="38194CD8"/>
    <w:rsid w:val="382071A0"/>
    <w:rsid w:val="382B3A37"/>
    <w:rsid w:val="382B49AC"/>
    <w:rsid w:val="383C4522"/>
    <w:rsid w:val="3842422E"/>
    <w:rsid w:val="38433B03"/>
    <w:rsid w:val="38455ACD"/>
    <w:rsid w:val="38561A88"/>
    <w:rsid w:val="385C2E16"/>
    <w:rsid w:val="386F2673"/>
    <w:rsid w:val="3875571E"/>
    <w:rsid w:val="387A336D"/>
    <w:rsid w:val="38923594"/>
    <w:rsid w:val="38950024"/>
    <w:rsid w:val="389B393F"/>
    <w:rsid w:val="38A709EE"/>
    <w:rsid w:val="38A74091"/>
    <w:rsid w:val="38B15295"/>
    <w:rsid w:val="38BD5663"/>
    <w:rsid w:val="38C34C43"/>
    <w:rsid w:val="38EA0422"/>
    <w:rsid w:val="38F07152"/>
    <w:rsid w:val="38F8669B"/>
    <w:rsid w:val="390908A8"/>
    <w:rsid w:val="390B3E87"/>
    <w:rsid w:val="39153832"/>
    <w:rsid w:val="39180F63"/>
    <w:rsid w:val="391B15A6"/>
    <w:rsid w:val="391B4A7F"/>
    <w:rsid w:val="391E3BCE"/>
    <w:rsid w:val="391E6CA0"/>
    <w:rsid w:val="392206C8"/>
    <w:rsid w:val="39370F24"/>
    <w:rsid w:val="394A20B8"/>
    <w:rsid w:val="39561614"/>
    <w:rsid w:val="39581830"/>
    <w:rsid w:val="395B0581"/>
    <w:rsid w:val="395F7936"/>
    <w:rsid w:val="39633429"/>
    <w:rsid w:val="39737710"/>
    <w:rsid w:val="397779E6"/>
    <w:rsid w:val="398E34A3"/>
    <w:rsid w:val="399132C6"/>
    <w:rsid w:val="399565E0"/>
    <w:rsid w:val="399B4E7D"/>
    <w:rsid w:val="399C32F4"/>
    <w:rsid w:val="39A937DB"/>
    <w:rsid w:val="39AB195F"/>
    <w:rsid w:val="39AE5B58"/>
    <w:rsid w:val="39B5458C"/>
    <w:rsid w:val="39BA1BA2"/>
    <w:rsid w:val="39BD78E5"/>
    <w:rsid w:val="39BF5F1D"/>
    <w:rsid w:val="39CB786D"/>
    <w:rsid w:val="39CE38A0"/>
    <w:rsid w:val="39D25CE1"/>
    <w:rsid w:val="39D7579D"/>
    <w:rsid w:val="39DE7F87"/>
    <w:rsid w:val="39E15381"/>
    <w:rsid w:val="39E21ED3"/>
    <w:rsid w:val="39EA57EB"/>
    <w:rsid w:val="39F31088"/>
    <w:rsid w:val="39F6165D"/>
    <w:rsid w:val="39F95AC7"/>
    <w:rsid w:val="39FA5B9A"/>
    <w:rsid w:val="3A053765"/>
    <w:rsid w:val="3A0879DA"/>
    <w:rsid w:val="3A103EB8"/>
    <w:rsid w:val="3A125D62"/>
    <w:rsid w:val="3A161CA0"/>
    <w:rsid w:val="3A197EA0"/>
    <w:rsid w:val="3A2E666E"/>
    <w:rsid w:val="3A401E2F"/>
    <w:rsid w:val="3A402396"/>
    <w:rsid w:val="3A4A701C"/>
    <w:rsid w:val="3A541FF7"/>
    <w:rsid w:val="3A573895"/>
    <w:rsid w:val="3A5A5133"/>
    <w:rsid w:val="3A5E69D2"/>
    <w:rsid w:val="3A687850"/>
    <w:rsid w:val="3A6B610B"/>
    <w:rsid w:val="3A7071C3"/>
    <w:rsid w:val="3A72025C"/>
    <w:rsid w:val="3A8521B0"/>
    <w:rsid w:val="3A916DA7"/>
    <w:rsid w:val="3A97723B"/>
    <w:rsid w:val="3AA16104"/>
    <w:rsid w:val="3AA73CAB"/>
    <w:rsid w:val="3AAD1707"/>
    <w:rsid w:val="3ACD3666"/>
    <w:rsid w:val="3ACD49E7"/>
    <w:rsid w:val="3AD01494"/>
    <w:rsid w:val="3ADB54AF"/>
    <w:rsid w:val="3ADB5E26"/>
    <w:rsid w:val="3AF47336"/>
    <w:rsid w:val="3AFB210F"/>
    <w:rsid w:val="3B007A89"/>
    <w:rsid w:val="3B04356B"/>
    <w:rsid w:val="3B0D21A6"/>
    <w:rsid w:val="3B0E4FE1"/>
    <w:rsid w:val="3B2C0029"/>
    <w:rsid w:val="3B2E3EC4"/>
    <w:rsid w:val="3B3433F9"/>
    <w:rsid w:val="3B36195A"/>
    <w:rsid w:val="3B381919"/>
    <w:rsid w:val="3B3C1FCF"/>
    <w:rsid w:val="3B405F2E"/>
    <w:rsid w:val="3B45591E"/>
    <w:rsid w:val="3B4A777D"/>
    <w:rsid w:val="3B4D7C13"/>
    <w:rsid w:val="3B5310FE"/>
    <w:rsid w:val="3B547F80"/>
    <w:rsid w:val="3B6870D6"/>
    <w:rsid w:val="3B83117B"/>
    <w:rsid w:val="3B8561E0"/>
    <w:rsid w:val="3B856E4B"/>
    <w:rsid w:val="3BB6629F"/>
    <w:rsid w:val="3BBF535C"/>
    <w:rsid w:val="3BC5273E"/>
    <w:rsid w:val="3BC67CAF"/>
    <w:rsid w:val="3BC7639E"/>
    <w:rsid w:val="3BC772B6"/>
    <w:rsid w:val="3BD00198"/>
    <w:rsid w:val="3BDC6748"/>
    <w:rsid w:val="3BDD16DA"/>
    <w:rsid w:val="3BE23632"/>
    <w:rsid w:val="3BED6EE9"/>
    <w:rsid w:val="3BF439E9"/>
    <w:rsid w:val="3BFA4E20"/>
    <w:rsid w:val="3C0435A9"/>
    <w:rsid w:val="3C284632"/>
    <w:rsid w:val="3C2C6606"/>
    <w:rsid w:val="3C2E6878"/>
    <w:rsid w:val="3C425B30"/>
    <w:rsid w:val="3C485DA3"/>
    <w:rsid w:val="3C4936B2"/>
    <w:rsid w:val="3C585C08"/>
    <w:rsid w:val="3C640CDA"/>
    <w:rsid w:val="3C655E40"/>
    <w:rsid w:val="3C664C9E"/>
    <w:rsid w:val="3C667DC0"/>
    <w:rsid w:val="3C684FBA"/>
    <w:rsid w:val="3C6E16D9"/>
    <w:rsid w:val="3C6F6131"/>
    <w:rsid w:val="3C760A7E"/>
    <w:rsid w:val="3C797AF3"/>
    <w:rsid w:val="3C7A54A7"/>
    <w:rsid w:val="3C835302"/>
    <w:rsid w:val="3C85541D"/>
    <w:rsid w:val="3C8A3DA3"/>
    <w:rsid w:val="3C8D7A42"/>
    <w:rsid w:val="3C8E1092"/>
    <w:rsid w:val="3C9E18B1"/>
    <w:rsid w:val="3CA35CA6"/>
    <w:rsid w:val="3CA8662A"/>
    <w:rsid w:val="3CA93EE9"/>
    <w:rsid w:val="3CC1149A"/>
    <w:rsid w:val="3CC72F54"/>
    <w:rsid w:val="3CCD42E3"/>
    <w:rsid w:val="3CD72A6B"/>
    <w:rsid w:val="3CE04016"/>
    <w:rsid w:val="3CEC29BB"/>
    <w:rsid w:val="3CF27284"/>
    <w:rsid w:val="3CF67395"/>
    <w:rsid w:val="3CFC7112"/>
    <w:rsid w:val="3D015D2C"/>
    <w:rsid w:val="3D127F47"/>
    <w:rsid w:val="3D154A6E"/>
    <w:rsid w:val="3D1B72B9"/>
    <w:rsid w:val="3D246119"/>
    <w:rsid w:val="3D255578"/>
    <w:rsid w:val="3D2A4C88"/>
    <w:rsid w:val="3D332992"/>
    <w:rsid w:val="3D3659E4"/>
    <w:rsid w:val="3D393726"/>
    <w:rsid w:val="3D3B45BA"/>
    <w:rsid w:val="3D3E0D3C"/>
    <w:rsid w:val="3D3E7892"/>
    <w:rsid w:val="3D50442D"/>
    <w:rsid w:val="3D515101"/>
    <w:rsid w:val="3D5741FB"/>
    <w:rsid w:val="3D645E49"/>
    <w:rsid w:val="3D6A02CA"/>
    <w:rsid w:val="3D6C58AA"/>
    <w:rsid w:val="3D6C7658"/>
    <w:rsid w:val="3D7014A0"/>
    <w:rsid w:val="3D827DBA"/>
    <w:rsid w:val="3D85671E"/>
    <w:rsid w:val="3D941147"/>
    <w:rsid w:val="3DA319B4"/>
    <w:rsid w:val="3DB1150E"/>
    <w:rsid w:val="3DB35286"/>
    <w:rsid w:val="3DBA6615"/>
    <w:rsid w:val="3DC16580"/>
    <w:rsid w:val="3DC47494"/>
    <w:rsid w:val="3DD01E88"/>
    <w:rsid w:val="3DD761A0"/>
    <w:rsid w:val="3DD86796"/>
    <w:rsid w:val="3DDC2A2F"/>
    <w:rsid w:val="3DE370ED"/>
    <w:rsid w:val="3DE5087F"/>
    <w:rsid w:val="3DF116B7"/>
    <w:rsid w:val="3DF37D79"/>
    <w:rsid w:val="3DF859CF"/>
    <w:rsid w:val="3DFE1172"/>
    <w:rsid w:val="3E00778B"/>
    <w:rsid w:val="3E06185A"/>
    <w:rsid w:val="3E09134A"/>
    <w:rsid w:val="3E1660A8"/>
    <w:rsid w:val="3E196E16"/>
    <w:rsid w:val="3E252B38"/>
    <w:rsid w:val="3E2919ED"/>
    <w:rsid w:val="3E2B76BA"/>
    <w:rsid w:val="3E394268"/>
    <w:rsid w:val="3E5B45FB"/>
    <w:rsid w:val="3E5C76CC"/>
    <w:rsid w:val="3E5F6EDA"/>
    <w:rsid w:val="3E630A5B"/>
    <w:rsid w:val="3E7569E0"/>
    <w:rsid w:val="3E765AFD"/>
    <w:rsid w:val="3E7E7F45"/>
    <w:rsid w:val="3E815CDE"/>
    <w:rsid w:val="3E8C2340"/>
    <w:rsid w:val="3E8E2763"/>
    <w:rsid w:val="3E8F641E"/>
    <w:rsid w:val="3E8F7AA2"/>
    <w:rsid w:val="3E931DF8"/>
    <w:rsid w:val="3E95498C"/>
    <w:rsid w:val="3EA01CAF"/>
    <w:rsid w:val="3EA603EA"/>
    <w:rsid w:val="3EA62C50"/>
    <w:rsid w:val="3EA76178"/>
    <w:rsid w:val="3EB07A18"/>
    <w:rsid w:val="3EB21E17"/>
    <w:rsid w:val="3EBC63BD"/>
    <w:rsid w:val="3EBE7ADF"/>
    <w:rsid w:val="3EC42180"/>
    <w:rsid w:val="3ED717C3"/>
    <w:rsid w:val="3ED816BE"/>
    <w:rsid w:val="3EDE4585"/>
    <w:rsid w:val="3EE22FB9"/>
    <w:rsid w:val="3EE37DED"/>
    <w:rsid w:val="3EEF6792"/>
    <w:rsid w:val="3EF34B27"/>
    <w:rsid w:val="3EF773F5"/>
    <w:rsid w:val="3EFD0EAF"/>
    <w:rsid w:val="3F1D5F61"/>
    <w:rsid w:val="3F1E4982"/>
    <w:rsid w:val="3F261E1A"/>
    <w:rsid w:val="3F3075C8"/>
    <w:rsid w:val="3F312907"/>
    <w:rsid w:val="3F3D5750"/>
    <w:rsid w:val="3F3E1957"/>
    <w:rsid w:val="3F487C50"/>
    <w:rsid w:val="3F536D21"/>
    <w:rsid w:val="3F722DDA"/>
    <w:rsid w:val="3F744EE9"/>
    <w:rsid w:val="3F79431C"/>
    <w:rsid w:val="3F7950FB"/>
    <w:rsid w:val="3F7F48CD"/>
    <w:rsid w:val="3F854A01"/>
    <w:rsid w:val="3F9B2476"/>
    <w:rsid w:val="3FA21302"/>
    <w:rsid w:val="3FBB350B"/>
    <w:rsid w:val="3FBE5F2D"/>
    <w:rsid w:val="3FBF2E9C"/>
    <w:rsid w:val="3FC419CD"/>
    <w:rsid w:val="3FC65745"/>
    <w:rsid w:val="3FC97C10"/>
    <w:rsid w:val="3FCB2D5B"/>
    <w:rsid w:val="3FCE63A8"/>
    <w:rsid w:val="3FD15745"/>
    <w:rsid w:val="3FD643A2"/>
    <w:rsid w:val="3FD87226"/>
    <w:rsid w:val="3FDF3EE3"/>
    <w:rsid w:val="3FE0432D"/>
    <w:rsid w:val="3FED6775"/>
    <w:rsid w:val="3FF51B86"/>
    <w:rsid w:val="3FFA3419"/>
    <w:rsid w:val="3FFE41E1"/>
    <w:rsid w:val="400B3BB8"/>
    <w:rsid w:val="400C28E4"/>
    <w:rsid w:val="40135E7D"/>
    <w:rsid w:val="40185875"/>
    <w:rsid w:val="401A783F"/>
    <w:rsid w:val="40201299"/>
    <w:rsid w:val="40226D9C"/>
    <w:rsid w:val="4027003D"/>
    <w:rsid w:val="40307062"/>
    <w:rsid w:val="403A7FB9"/>
    <w:rsid w:val="403C0A0C"/>
    <w:rsid w:val="404769EE"/>
    <w:rsid w:val="404946C2"/>
    <w:rsid w:val="404D0FDF"/>
    <w:rsid w:val="405A668B"/>
    <w:rsid w:val="40642DA8"/>
    <w:rsid w:val="40662A84"/>
    <w:rsid w:val="40756DDB"/>
    <w:rsid w:val="4076222A"/>
    <w:rsid w:val="40813935"/>
    <w:rsid w:val="40861921"/>
    <w:rsid w:val="4096261A"/>
    <w:rsid w:val="40972C3D"/>
    <w:rsid w:val="409A2DEA"/>
    <w:rsid w:val="409A7C2B"/>
    <w:rsid w:val="409E7AE7"/>
    <w:rsid w:val="40A67BC7"/>
    <w:rsid w:val="40B24439"/>
    <w:rsid w:val="40BC64BA"/>
    <w:rsid w:val="40BD15E3"/>
    <w:rsid w:val="40D34ED6"/>
    <w:rsid w:val="40E65864"/>
    <w:rsid w:val="40EB2913"/>
    <w:rsid w:val="40ED56A2"/>
    <w:rsid w:val="40FB141E"/>
    <w:rsid w:val="411A73CB"/>
    <w:rsid w:val="412169AB"/>
    <w:rsid w:val="41244F4A"/>
    <w:rsid w:val="412E577E"/>
    <w:rsid w:val="413D4E60"/>
    <w:rsid w:val="415002B1"/>
    <w:rsid w:val="41627E49"/>
    <w:rsid w:val="41635215"/>
    <w:rsid w:val="41682301"/>
    <w:rsid w:val="417116E0"/>
    <w:rsid w:val="4189070D"/>
    <w:rsid w:val="418F1B67"/>
    <w:rsid w:val="418F7DB9"/>
    <w:rsid w:val="41930CA0"/>
    <w:rsid w:val="41966C29"/>
    <w:rsid w:val="419B050B"/>
    <w:rsid w:val="41AF2209"/>
    <w:rsid w:val="41B146FE"/>
    <w:rsid w:val="41B33AA7"/>
    <w:rsid w:val="41C6377B"/>
    <w:rsid w:val="420561E0"/>
    <w:rsid w:val="420C7BAA"/>
    <w:rsid w:val="420E6F2F"/>
    <w:rsid w:val="420F25F8"/>
    <w:rsid w:val="42155D20"/>
    <w:rsid w:val="42165DE4"/>
    <w:rsid w:val="42191DBD"/>
    <w:rsid w:val="422A56E2"/>
    <w:rsid w:val="422E774B"/>
    <w:rsid w:val="423272AF"/>
    <w:rsid w:val="42336996"/>
    <w:rsid w:val="423779C1"/>
    <w:rsid w:val="423B76F4"/>
    <w:rsid w:val="423D15C3"/>
    <w:rsid w:val="423F7358"/>
    <w:rsid w:val="42417062"/>
    <w:rsid w:val="42417305"/>
    <w:rsid w:val="42462B6D"/>
    <w:rsid w:val="42493C4E"/>
    <w:rsid w:val="4262172B"/>
    <w:rsid w:val="426E4640"/>
    <w:rsid w:val="4270413E"/>
    <w:rsid w:val="427F7E2D"/>
    <w:rsid w:val="42823484"/>
    <w:rsid w:val="42891277"/>
    <w:rsid w:val="42A44D37"/>
    <w:rsid w:val="42AA7A0D"/>
    <w:rsid w:val="42B35AAD"/>
    <w:rsid w:val="42C04561"/>
    <w:rsid w:val="42C623E0"/>
    <w:rsid w:val="42CC20A7"/>
    <w:rsid w:val="42CC4BAF"/>
    <w:rsid w:val="42CE2A86"/>
    <w:rsid w:val="42D444DE"/>
    <w:rsid w:val="42D75573"/>
    <w:rsid w:val="42E019BE"/>
    <w:rsid w:val="42ED4D97"/>
    <w:rsid w:val="42EE3A3B"/>
    <w:rsid w:val="42F43BE9"/>
    <w:rsid w:val="42F906B1"/>
    <w:rsid w:val="43014EF6"/>
    <w:rsid w:val="43027F80"/>
    <w:rsid w:val="43046293"/>
    <w:rsid w:val="43054083"/>
    <w:rsid w:val="43171E14"/>
    <w:rsid w:val="43284021"/>
    <w:rsid w:val="432C1CB5"/>
    <w:rsid w:val="432D6CA1"/>
    <w:rsid w:val="432F3183"/>
    <w:rsid w:val="433144FA"/>
    <w:rsid w:val="433C6E43"/>
    <w:rsid w:val="434065DE"/>
    <w:rsid w:val="434862BF"/>
    <w:rsid w:val="435F33C8"/>
    <w:rsid w:val="436359B9"/>
    <w:rsid w:val="436C2C8D"/>
    <w:rsid w:val="43707561"/>
    <w:rsid w:val="437D25BE"/>
    <w:rsid w:val="43830078"/>
    <w:rsid w:val="438356FB"/>
    <w:rsid w:val="43860D47"/>
    <w:rsid w:val="43933E70"/>
    <w:rsid w:val="439B47F3"/>
    <w:rsid w:val="43A362A6"/>
    <w:rsid w:val="43AD2778"/>
    <w:rsid w:val="43AE23D4"/>
    <w:rsid w:val="43B13C56"/>
    <w:rsid w:val="43BE7C64"/>
    <w:rsid w:val="43C12BAF"/>
    <w:rsid w:val="43C34498"/>
    <w:rsid w:val="43C433B3"/>
    <w:rsid w:val="43DB1093"/>
    <w:rsid w:val="43DC70EE"/>
    <w:rsid w:val="43E16670"/>
    <w:rsid w:val="43E36899"/>
    <w:rsid w:val="43EA577A"/>
    <w:rsid w:val="43EE6AAB"/>
    <w:rsid w:val="43F33D2E"/>
    <w:rsid w:val="43F62FA2"/>
    <w:rsid w:val="43F6411F"/>
    <w:rsid w:val="43F84F97"/>
    <w:rsid w:val="44064E4C"/>
    <w:rsid w:val="4407632C"/>
    <w:rsid w:val="440F7409"/>
    <w:rsid w:val="441822E7"/>
    <w:rsid w:val="442D6A37"/>
    <w:rsid w:val="443B5FD6"/>
    <w:rsid w:val="444469C4"/>
    <w:rsid w:val="444E3F5B"/>
    <w:rsid w:val="444E7AB7"/>
    <w:rsid w:val="445826E4"/>
    <w:rsid w:val="445B4525"/>
    <w:rsid w:val="445C7A30"/>
    <w:rsid w:val="445F7F16"/>
    <w:rsid w:val="44682D32"/>
    <w:rsid w:val="446F0632"/>
    <w:rsid w:val="44782D86"/>
    <w:rsid w:val="447C414F"/>
    <w:rsid w:val="44893051"/>
    <w:rsid w:val="448B682E"/>
    <w:rsid w:val="449000D0"/>
    <w:rsid w:val="449215CA"/>
    <w:rsid w:val="44A548AA"/>
    <w:rsid w:val="44B36AF9"/>
    <w:rsid w:val="44B50C18"/>
    <w:rsid w:val="44B76C05"/>
    <w:rsid w:val="44BA6822"/>
    <w:rsid w:val="44CA2F7C"/>
    <w:rsid w:val="44CE6E4A"/>
    <w:rsid w:val="44D51F86"/>
    <w:rsid w:val="44E4041B"/>
    <w:rsid w:val="44E665E6"/>
    <w:rsid w:val="44F71EFD"/>
    <w:rsid w:val="4505448C"/>
    <w:rsid w:val="45111E6F"/>
    <w:rsid w:val="451673E4"/>
    <w:rsid w:val="45180634"/>
    <w:rsid w:val="451C1475"/>
    <w:rsid w:val="451D57CD"/>
    <w:rsid w:val="452847AC"/>
    <w:rsid w:val="4534538A"/>
    <w:rsid w:val="454C6CE8"/>
    <w:rsid w:val="455177A3"/>
    <w:rsid w:val="455251E9"/>
    <w:rsid w:val="45607DAB"/>
    <w:rsid w:val="456274DE"/>
    <w:rsid w:val="456B308B"/>
    <w:rsid w:val="457A08E6"/>
    <w:rsid w:val="457C2402"/>
    <w:rsid w:val="457E13F9"/>
    <w:rsid w:val="457E261E"/>
    <w:rsid w:val="458E75AD"/>
    <w:rsid w:val="458F2985"/>
    <w:rsid w:val="458F38AF"/>
    <w:rsid w:val="45943BEF"/>
    <w:rsid w:val="45947D37"/>
    <w:rsid w:val="459B4F7E"/>
    <w:rsid w:val="459D33E7"/>
    <w:rsid w:val="459E681C"/>
    <w:rsid w:val="45A9560D"/>
    <w:rsid w:val="45B35267"/>
    <w:rsid w:val="45B5276D"/>
    <w:rsid w:val="45BF33AA"/>
    <w:rsid w:val="45C12DB2"/>
    <w:rsid w:val="45CA01A9"/>
    <w:rsid w:val="45CA7F67"/>
    <w:rsid w:val="45DF2F69"/>
    <w:rsid w:val="45E43CB8"/>
    <w:rsid w:val="45E43E6E"/>
    <w:rsid w:val="45E76415"/>
    <w:rsid w:val="45F8417E"/>
    <w:rsid w:val="45F91408"/>
    <w:rsid w:val="45FB7A5D"/>
    <w:rsid w:val="45FD79E7"/>
    <w:rsid w:val="460056FF"/>
    <w:rsid w:val="4607616F"/>
    <w:rsid w:val="46113D93"/>
    <w:rsid w:val="46156F61"/>
    <w:rsid w:val="461D1E37"/>
    <w:rsid w:val="462239DC"/>
    <w:rsid w:val="462E5B03"/>
    <w:rsid w:val="464024BC"/>
    <w:rsid w:val="46466FAA"/>
    <w:rsid w:val="46487090"/>
    <w:rsid w:val="464A0CE2"/>
    <w:rsid w:val="464A2500"/>
    <w:rsid w:val="464A7671"/>
    <w:rsid w:val="464D790E"/>
    <w:rsid w:val="465C483C"/>
    <w:rsid w:val="466960D4"/>
    <w:rsid w:val="466A30AB"/>
    <w:rsid w:val="466C6A93"/>
    <w:rsid w:val="466F0B4F"/>
    <w:rsid w:val="4672635B"/>
    <w:rsid w:val="467632F5"/>
    <w:rsid w:val="467A52DB"/>
    <w:rsid w:val="467B7D32"/>
    <w:rsid w:val="46873CBB"/>
    <w:rsid w:val="468772B0"/>
    <w:rsid w:val="46883A9A"/>
    <w:rsid w:val="468A43CA"/>
    <w:rsid w:val="46926418"/>
    <w:rsid w:val="46A14816"/>
    <w:rsid w:val="46B66897"/>
    <w:rsid w:val="46C84F30"/>
    <w:rsid w:val="46DA1AD6"/>
    <w:rsid w:val="46DD4ED5"/>
    <w:rsid w:val="46E052BB"/>
    <w:rsid w:val="46E3558A"/>
    <w:rsid w:val="46EE63EF"/>
    <w:rsid w:val="46F8347D"/>
    <w:rsid w:val="470268EB"/>
    <w:rsid w:val="471425D5"/>
    <w:rsid w:val="47181E82"/>
    <w:rsid w:val="47184F83"/>
    <w:rsid w:val="471A45C8"/>
    <w:rsid w:val="472438F0"/>
    <w:rsid w:val="473311E6"/>
    <w:rsid w:val="47506D5C"/>
    <w:rsid w:val="47521099"/>
    <w:rsid w:val="475E6263"/>
    <w:rsid w:val="475E784E"/>
    <w:rsid w:val="47653A95"/>
    <w:rsid w:val="477467AD"/>
    <w:rsid w:val="47756594"/>
    <w:rsid w:val="479374D5"/>
    <w:rsid w:val="47983DB2"/>
    <w:rsid w:val="479D7B6D"/>
    <w:rsid w:val="479F4531"/>
    <w:rsid w:val="47A36F0E"/>
    <w:rsid w:val="47A471B7"/>
    <w:rsid w:val="47A77B0A"/>
    <w:rsid w:val="47AE1126"/>
    <w:rsid w:val="47B20565"/>
    <w:rsid w:val="47B71E17"/>
    <w:rsid w:val="47BB36B5"/>
    <w:rsid w:val="47C3256A"/>
    <w:rsid w:val="47CA7D9C"/>
    <w:rsid w:val="47CD163B"/>
    <w:rsid w:val="47D94B6B"/>
    <w:rsid w:val="47E50BAC"/>
    <w:rsid w:val="47E703CE"/>
    <w:rsid w:val="47FE17F4"/>
    <w:rsid w:val="48004C3B"/>
    <w:rsid w:val="4801118F"/>
    <w:rsid w:val="4809107C"/>
    <w:rsid w:val="480A47EF"/>
    <w:rsid w:val="480A7DB4"/>
    <w:rsid w:val="481240CB"/>
    <w:rsid w:val="481455DB"/>
    <w:rsid w:val="481B05F8"/>
    <w:rsid w:val="481F5625"/>
    <w:rsid w:val="48253225"/>
    <w:rsid w:val="48296208"/>
    <w:rsid w:val="482A6DA7"/>
    <w:rsid w:val="482D3E87"/>
    <w:rsid w:val="48321326"/>
    <w:rsid w:val="483311A2"/>
    <w:rsid w:val="4841181A"/>
    <w:rsid w:val="48422683"/>
    <w:rsid w:val="484418FD"/>
    <w:rsid w:val="484D0EA2"/>
    <w:rsid w:val="485B0D6A"/>
    <w:rsid w:val="48600E2A"/>
    <w:rsid w:val="48790FA7"/>
    <w:rsid w:val="4884619D"/>
    <w:rsid w:val="488717E9"/>
    <w:rsid w:val="4894488E"/>
    <w:rsid w:val="48974745"/>
    <w:rsid w:val="489F4D85"/>
    <w:rsid w:val="48A46965"/>
    <w:rsid w:val="48A73FBA"/>
    <w:rsid w:val="48AD3554"/>
    <w:rsid w:val="48AE5652"/>
    <w:rsid w:val="48BC79F1"/>
    <w:rsid w:val="48C71580"/>
    <w:rsid w:val="48C72974"/>
    <w:rsid w:val="48C923DA"/>
    <w:rsid w:val="48CB0902"/>
    <w:rsid w:val="48DA4694"/>
    <w:rsid w:val="48E06912"/>
    <w:rsid w:val="48E1714C"/>
    <w:rsid w:val="48F12C3D"/>
    <w:rsid w:val="490B4A50"/>
    <w:rsid w:val="490E0C5F"/>
    <w:rsid w:val="490E1C21"/>
    <w:rsid w:val="49115557"/>
    <w:rsid w:val="49137095"/>
    <w:rsid w:val="4922756D"/>
    <w:rsid w:val="49242612"/>
    <w:rsid w:val="49295A84"/>
    <w:rsid w:val="493201B9"/>
    <w:rsid w:val="493426FB"/>
    <w:rsid w:val="494367A7"/>
    <w:rsid w:val="49463453"/>
    <w:rsid w:val="49476224"/>
    <w:rsid w:val="495619B3"/>
    <w:rsid w:val="495818A4"/>
    <w:rsid w:val="495835FF"/>
    <w:rsid w:val="49584F34"/>
    <w:rsid w:val="49585D98"/>
    <w:rsid w:val="4978126B"/>
    <w:rsid w:val="497D6703"/>
    <w:rsid w:val="49847E6D"/>
    <w:rsid w:val="498E2F37"/>
    <w:rsid w:val="49935F6C"/>
    <w:rsid w:val="49971F00"/>
    <w:rsid w:val="49997A26"/>
    <w:rsid w:val="49A07007"/>
    <w:rsid w:val="49A50B42"/>
    <w:rsid w:val="49B02FC2"/>
    <w:rsid w:val="49B63858"/>
    <w:rsid w:val="49BE1F2C"/>
    <w:rsid w:val="49D15412"/>
    <w:rsid w:val="49DC3DB7"/>
    <w:rsid w:val="49E3340D"/>
    <w:rsid w:val="49E50ACD"/>
    <w:rsid w:val="49E71A8E"/>
    <w:rsid w:val="49E819A9"/>
    <w:rsid w:val="49F033BE"/>
    <w:rsid w:val="49F03703"/>
    <w:rsid w:val="49F827A2"/>
    <w:rsid w:val="4A056E6A"/>
    <w:rsid w:val="4A17094B"/>
    <w:rsid w:val="4A205A52"/>
    <w:rsid w:val="4A2715AB"/>
    <w:rsid w:val="4A2C089A"/>
    <w:rsid w:val="4A336D8D"/>
    <w:rsid w:val="4A3B36DF"/>
    <w:rsid w:val="4A3C4018"/>
    <w:rsid w:val="4A417993"/>
    <w:rsid w:val="4A4534F8"/>
    <w:rsid w:val="4A4F488D"/>
    <w:rsid w:val="4A62606A"/>
    <w:rsid w:val="4A653DAC"/>
    <w:rsid w:val="4A6674DE"/>
    <w:rsid w:val="4A6D4A0F"/>
    <w:rsid w:val="4A794962"/>
    <w:rsid w:val="4A7B537E"/>
    <w:rsid w:val="4A802994"/>
    <w:rsid w:val="4A80399C"/>
    <w:rsid w:val="4A8835F7"/>
    <w:rsid w:val="4A8C758B"/>
    <w:rsid w:val="4AA523FB"/>
    <w:rsid w:val="4AA871D3"/>
    <w:rsid w:val="4AAA17BF"/>
    <w:rsid w:val="4ABD6EFF"/>
    <w:rsid w:val="4ABE4879"/>
    <w:rsid w:val="4AC175F5"/>
    <w:rsid w:val="4AC565F9"/>
    <w:rsid w:val="4AD0163B"/>
    <w:rsid w:val="4ADB26BF"/>
    <w:rsid w:val="4ADB406F"/>
    <w:rsid w:val="4AE12062"/>
    <w:rsid w:val="4AE348C1"/>
    <w:rsid w:val="4AE729B3"/>
    <w:rsid w:val="4AFE2567"/>
    <w:rsid w:val="4B027C55"/>
    <w:rsid w:val="4B08477A"/>
    <w:rsid w:val="4B1B0B3D"/>
    <w:rsid w:val="4B1C5D56"/>
    <w:rsid w:val="4B1D284D"/>
    <w:rsid w:val="4B1F21AD"/>
    <w:rsid w:val="4B1F3F5B"/>
    <w:rsid w:val="4B343D65"/>
    <w:rsid w:val="4B3C5A45"/>
    <w:rsid w:val="4B465398"/>
    <w:rsid w:val="4B48253F"/>
    <w:rsid w:val="4B63315F"/>
    <w:rsid w:val="4B7D6ED4"/>
    <w:rsid w:val="4B8464B4"/>
    <w:rsid w:val="4B9445BC"/>
    <w:rsid w:val="4B9766A7"/>
    <w:rsid w:val="4B990D30"/>
    <w:rsid w:val="4B9F509C"/>
    <w:rsid w:val="4BA60969"/>
    <w:rsid w:val="4BA704FB"/>
    <w:rsid w:val="4BB23BA1"/>
    <w:rsid w:val="4BB60D15"/>
    <w:rsid w:val="4BBC6C60"/>
    <w:rsid w:val="4BC32B39"/>
    <w:rsid w:val="4BC44B03"/>
    <w:rsid w:val="4BC9635D"/>
    <w:rsid w:val="4BCE14DD"/>
    <w:rsid w:val="4BD70F80"/>
    <w:rsid w:val="4BE5770D"/>
    <w:rsid w:val="4BE752F2"/>
    <w:rsid w:val="4BEB7BA9"/>
    <w:rsid w:val="4BF151CC"/>
    <w:rsid w:val="4BF4143A"/>
    <w:rsid w:val="4BF437A1"/>
    <w:rsid w:val="4BF54D0D"/>
    <w:rsid w:val="4BF94693"/>
    <w:rsid w:val="4BFC429C"/>
    <w:rsid w:val="4C0C0E58"/>
    <w:rsid w:val="4C15710C"/>
    <w:rsid w:val="4C1930A0"/>
    <w:rsid w:val="4C1E15BE"/>
    <w:rsid w:val="4C2061DD"/>
    <w:rsid w:val="4C24147D"/>
    <w:rsid w:val="4C252850"/>
    <w:rsid w:val="4C440E1C"/>
    <w:rsid w:val="4C490976"/>
    <w:rsid w:val="4C547BBF"/>
    <w:rsid w:val="4C547C35"/>
    <w:rsid w:val="4C561BFF"/>
    <w:rsid w:val="4C6562E6"/>
    <w:rsid w:val="4C6800F3"/>
    <w:rsid w:val="4C684E91"/>
    <w:rsid w:val="4C7666FB"/>
    <w:rsid w:val="4C787264"/>
    <w:rsid w:val="4C7B086C"/>
    <w:rsid w:val="4C7E1155"/>
    <w:rsid w:val="4C8A3980"/>
    <w:rsid w:val="4C8B7107"/>
    <w:rsid w:val="4C8F03F4"/>
    <w:rsid w:val="4C9B5863"/>
    <w:rsid w:val="4CA10A77"/>
    <w:rsid w:val="4CBB4158"/>
    <w:rsid w:val="4CBD2DC0"/>
    <w:rsid w:val="4CBD57DA"/>
    <w:rsid w:val="4CC21042"/>
    <w:rsid w:val="4CC226EC"/>
    <w:rsid w:val="4CC36F70"/>
    <w:rsid w:val="4CCD5F03"/>
    <w:rsid w:val="4CCE6F0F"/>
    <w:rsid w:val="4CCF73B9"/>
    <w:rsid w:val="4CD1264F"/>
    <w:rsid w:val="4CD509BB"/>
    <w:rsid w:val="4CE238C5"/>
    <w:rsid w:val="4CE511D4"/>
    <w:rsid w:val="4CEE32D5"/>
    <w:rsid w:val="4CF431C6"/>
    <w:rsid w:val="4CFE5DF2"/>
    <w:rsid w:val="4D06196B"/>
    <w:rsid w:val="4D07114B"/>
    <w:rsid w:val="4D1626E7"/>
    <w:rsid w:val="4D2746AB"/>
    <w:rsid w:val="4D31441A"/>
    <w:rsid w:val="4D4128AF"/>
    <w:rsid w:val="4D520851"/>
    <w:rsid w:val="4D720832"/>
    <w:rsid w:val="4D7762D0"/>
    <w:rsid w:val="4D7945B6"/>
    <w:rsid w:val="4D7C691B"/>
    <w:rsid w:val="4D862070"/>
    <w:rsid w:val="4D8808D6"/>
    <w:rsid w:val="4D896885"/>
    <w:rsid w:val="4D9329DF"/>
    <w:rsid w:val="4D9419DE"/>
    <w:rsid w:val="4D9753AC"/>
    <w:rsid w:val="4D987FF5"/>
    <w:rsid w:val="4D9E4E6E"/>
    <w:rsid w:val="4DA378E3"/>
    <w:rsid w:val="4DAC4BF0"/>
    <w:rsid w:val="4DB11992"/>
    <w:rsid w:val="4DBF37D4"/>
    <w:rsid w:val="4DD07D7E"/>
    <w:rsid w:val="4DD52FF7"/>
    <w:rsid w:val="4DE30CDF"/>
    <w:rsid w:val="4E1245B0"/>
    <w:rsid w:val="4E137DBE"/>
    <w:rsid w:val="4E1472E2"/>
    <w:rsid w:val="4E2226BF"/>
    <w:rsid w:val="4E2C4922"/>
    <w:rsid w:val="4E3063B0"/>
    <w:rsid w:val="4E31544E"/>
    <w:rsid w:val="4E3B5550"/>
    <w:rsid w:val="4E3F2E82"/>
    <w:rsid w:val="4E3F45FB"/>
    <w:rsid w:val="4E4A12EF"/>
    <w:rsid w:val="4E4D2ADE"/>
    <w:rsid w:val="4E4D5343"/>
    <w:rsid w:val="4E575E2C"/>
    <w:rsid w:val="4E5B6F54"/>
    <w:rsid w:val="4E696AC3"/>
    <w:rsid w:val="4E697062"/>
    <w:rsid w:val="4E7B68D1"/>
    <w:rsid w:val="4E7E182D"/>
    <w:rsid w:val="4E8C3C97"/>
    <w:rsid w:val="4E923F8D"/>
    <w:rsid w:val="4E956A12"/>
    <w:rsid w:val="4EA20AE9"/>
    <w:rsid w:val="4EA63195"/>
    <w:rsid w:val="4EB3158A"/>
    <w:rsid w:val="4EB33287"/>
    <w:rsid w:val="4EBE456F"/>
    <w:rsid w:val="4EC36AD2"/>
    <w:rsid w:val="4EC74F59"/>
    <w:rsid w:val="4ED00A5B"/>
    <w:rsid w:val="4ED16532"/>
    <w:rsid w:val="4EDF1ABC"/>
    <w:rsid w:val="4EEA4880"/>
    <w:rsid w:val="4EF13E61"/>
    <w:rsid w:val="4EF27697"/>
    <w:rsid w:val="4EF464E0"/>
    <w:rsid w:val="4EFB7302"/>
    <w:rsid w:val="4F192FEF"/>
    <w:rsid w:val="4F19504C"/>
    <w:rsid w:val="4F252C8C"/>
    <w:rsid w:val="4F261101"/>
    <w:rsid w:val="4F275B37"/>
    <w:rsid w:val="4F306FED"/>
    <w:rsid w:val="4F3504CA"/>
    <w:rsid w:val="4F391736"/>
    <w:rsid w:val="4F400944"/>
    <w:rsid w:val="4F4A393A"/>
    <w:rsid w:val="4F4D5BF9"/>
    <w:rsid w:val="4F4F0B87"/>
    <w:rsid w:val="4F5334C2"/>
    <w:rsid w:val="4F536606"/>
    <w:rsid w:val="4F59348C"/>
    <w:rsid w:val="4F5D4589"/>
    <w:rsid w:val="4F5F0DCA"/>
    <w:rsid w:val="4F5F11BE"/>
    <w:rsid w:val="4F644633"/>
    <w:rsid w:val="4F645B85"/>
    <w:rsid w:val="4F652159"/>
    <w:rsid w:val="4F697E9B"/>
    <w:rsid w:val="4F6B5EAA"/>
    <w:rsid w:val="4F744188"/>
    <w:rsid w:val="4F7B6E10"/>
    <w:rsid w:val="4F7E3FC7"/>
    <w:rsid w:val="4F812CDD"/>
    <w:rsid w:val="4F893C64"/>
    <w:rsid w:val="4F9340A5"/>
    <w:rsid w:val="4FB03110"/>
    <w:rsid w:val="4FB355BA"/>
    <w:rsid w:val="4FC31B88"/>
    <w:rsid w:val="4FC56E9F"/>
    <w:rsid w:val="4FC82703"/>
    <w:rsid w:val="4FCB2904"/>
    <w:rsid w:val="4FE52FDF"/>
    <w:rsid w:val="4FF0236A"/>
    <w:rsid w:val="4FF23066"/>
    <w:rsid w:val="4FF2491F"/>
    <w:rsid w:val="4FF5172F"/>
    <w:rsid w:val="5006095A"/>
    <w:rsid w:val="50093C38"/>
    <w:rsid w:val="50215FDF"/>
    <w:rsid w:val="50314614"/>
    <w:rsid w:val="5034188B"/>
    <w:rsid w:val="50357D7D"/>
    <w:rsid w:val="50395ABF"/>
    <w:rsid w:val="504601DC"/>
    <w:rsid w:val="5049176B"/>
    <w:rsid w:val="505E5526"/>
    <w:rsid w:val="50650662"/>
    <w:rsid w:val="506D39BB"/>
    <w:rsid w:val="506F2B59"/>
    <w:rsid w:val="507C64A1"/>
    <w:rsid w:val="508274DC"/>
    <w:rsid w:val="508D52E9"/>
    <w:rsid w:val="50A62A29"/>
    <w:rsid w:val="50B621D5"/>
    <w:rsid w:val="50B769E4"/>
    <w:rsid w:val="50BF7533"/>
    <w:rsid w:val="50C445E2"/>
    <w:rsid w:val="50D0049D"/>
    <w:rsid w:val="50D244FB"/>
    <w:rsid w:val="50EF2A55"/>
    <w:rsid w:val="510A2FB8"/>
    <w:rsid w:val="51134562"/>
    <w:rsid w:val="511D05B5"/>
    <w:rsid w:val="512067D4"/>
    <w:rsid w:val="51234079"/>
    <w:rsid w:val="51322E6B"/>
    <w:rsid w:val="51372530"/>
    <w:rsid w:val="513729B4"/>
    <w:rsid w:val="5156444F"/>
    <w:rsid w:val="515727CF"/>
    <w:rsid w:val="515B0783"/>
    <w:rsid w:val="517B01FF"/>
    <w:rsid w:val="51825244"/>
    <w:rsid w:val="51905DD2"/>
    <w:rsid w:val="51937451"/>
    <w:rsid w:val="51A10B88"/>
    <w:rsid w:val="51A87074"/>
    <w:rsid w:val="51AD64AB"/>
    <w:rsid w:val="51B13657"/>
    <w:rsid w:val="51BF1FF4"/>
    <w:rsid w:val="51C02356"/>
    <w:rsid w:val="51DD50CB"/>
    <w:rsid w:val="51E90E1F"/>
    <w:rsid w:val="51F03BB4"/>
    <w:rsid w:val="51F229FB"/>
    <w:rsid w:val="51F46B0B"/>
    <w:rsid w:val="51F577C4"/>
    <w:rsid w:val="51F63087"/>
    <w:rsid w:val="52091FEF"/>
    <w:rsid w:val="520B18BD"/>
    <w:rsid w:val="520D0FB1"/>
    <w:rsid w:val="52100AA2"/>
    <w:rsid w:val="521A1ECB"/>
    <w:rsid w:val="521C5D20"/>
    <w:rsid w:val="5233131D"/>
    <w:rsid w:val="523B284B"/>
    <w:rsid w:val="523D71DF"/>
    <w:rsid w:val="524115DB"/>
    <w:rsid w:val="524A0015"/>
    <w:rsid w:val="525231F6"/>
    <w:rsid w:val="52571B78"/>
    <w:rsid w:val="52614E59"/>
    <w:rsid w:val="52711A4A"/>
    <w:rsid w:val="52761DAA"/>
    <w:rsid w:val="52831274"/>
    <w:rsid w:val="5288789D"/>
    <w:rsid w:val="528F20B4"/>
    <w:rsid w:val="52917F8D"/>
    <w:rsid w:val="529E2C25"/>
    <w:rsid w:val="529F552D"/>
    <w:rsid w:val="52A766BB"/>
    <w:rsid w:val="52A80CDA"/>
    <w:rsid w:val="52AF02BB"/>
    <w:rsid w:val="52B0455D"/>
    <w:rsid w:val="52B557A6"/>
    <w:rsid w:val="52CD24EF"/>
    <w:rsid w:val="52D07A43"/>
    <w:rsid w:val="52D13C5E"/>
    <w:rsid w:val="52D27B05"/>
    <w:rsid w:val="52DB10B0"/>
    <w:rsid w:val="52ED70A0"/>
    <w:rsid w:val="52EE322A"/>
    <w:rsid w:val="52EF3C34"/>
    <w:rsid w:val="52F97788"/>
    <w:rsid w:val="52FB52AE"/>
    <w:rsid w:val="52FD7573"/>
    <w:rsid w:val="530329B9"/>
    <w:rsid w:val="53081779"/>
    <w:rsid w:val="530C1269"/>
    <w:rsid w:val="532C4D79"/>
    <w:rsid w:val="532F0524"/>
    <w:rsid w:val="532F4F57"/>
    <w:rsid w:val="5353184D"/>
    <w:rsid w:val="536B25A4"/>
    <w:rsid w:val="536C7F5A"/>
    <w:rsid w:val="537E76D3"/>
    <w:rsid w:val="53807561"/>
    <w:rsid w:val="5388282C"/>
    <w:rsid w:val="538928BA"/>
    <w:rsid w:val="538C4158"/>
    <w:rsid w:val="538D1EDB"/>
    <w:rsid w:val="5390360C"/>
    <w:rsid w:val="539574B0"/>
    <w:rsid w:val="53B20508"/>
    <w:rsid w:val="53B37937"/>
    <w:rsid w:val="53B63106"/>
    <w:rsid w:val="53B86CFB"/>
    <w:rsid w:val="53B90A8C"/>
    <w:rsid w:val="53BB4A3D"/>
    <w:rsid w:val="53BD2563"/>
    <w:rsid w:val="53C27B7A"/>
    <w:rsid w:val="53C51418"/>
    <w:rsid w:val="53C658BC"/>
    <w:rsid w:val="53D425A2"/>
    <w:rsid w:val="53D85C9D"/>
    <w:rsid w:val="53DD49B3"/>
    <w:rsid w:val="53E74EAB"/>
    <w:rsid w:val="53EB5273"/>
    <w:rsid w:val="53ED570A"/>
    <w:rsid w:val="53ED6683"/>
    <w:rsid w:val="53FB766A"/>
    <w:rsid w:val="540168F4"/>
    <w:rsid w:val="540463E4"/>
    <w:rsid w:val="54046D5C"/>
    <w:rsid w:val="54063F0A"/>
    <w:rsid w:val="54083D9E"/>
    <w:rsid w:val="541128AF"/>
    <w:rsid w:val="541303D5"/>
    <w:rsid w:val="54187D2B"/>
    <w:rsid w:val="542974CF"/>
    <w:rsid w:val="543A447A"/>
    <w:rsid w:val="544339A6"/>
    <w:rsid w:val="544F466F"/>
    <w:rsid w:val="54582E7D"/>
    <w:rsid w:val="545D0CDE"/>
    <w:rsid w:val="545F6AA3"/>
    <w:rsid w:val="545F7ABE"/>
    <w:rsid w:val="54624EB9"/>
    <w:rsid w:val="546B31A6"/>
    <w:rsid w:val="546F4AAC"/>
    <w:rsid w:val="547F4B0F"/>
    <w:rsid w:val="5495703C"/>
    <w:rsid w:val="54995A0F"/>
    <w:rsid w:val="549A0AF6"/>
    <w:rsid w:val="54A82022"/>
    <w:rsid w:val="54B020C8"/>
    <w:rsid w:val="54B73456"/>
    <w:rsid w:val="54B91F99"/>
    <w:rsid w:val="54B945C7"/>
    <w:rsid w:val="54BC781D"/>
    <w:rsid w:val="54C71F1E"/>
    <w:rsid w:val="54CF40E2"/>
    <w:rsid w:val="54D271BA"/>
    <w:rsid w:val="54D97871"/>
    <w:rsid w:val="54DB4F3F"/>
    <w:rsid w:val="54DF16B0"/>
    <w:rsid w:val="54E56216"/>
    <w:rsid w:val="54F41FB5"/>
    <w:rsid w:val="54F9019D"/>
    <w:rsid w:val="54FE1085"/>
    <w:rsid w:val="5503669C"/>
    <w:rsid w:val="550A17D8"/>
    <w:rsid w:val="5512068D"/>
    <w:rsid w:val="55165419"/>
    <w:rsid w:val="551C55B1"/>
    <w:rsid w:val="551E1924"/>
    <w:rsid w:val="55234128"/>
    <w:rsid w:val="552D40F6"/>
    <w:rsid w:val="552F56E3"/>
    <w:rsid w:val="55305328"/>
    <w:rsid w:val="55316BF0"/>
    <w:rsid w:val="5544046E"/>
    <w:rsid w:val="556B34CB"/>
    <w:rsid w:val="5572523E"/>
    <w:rsid w:val="557B26D6"/>
    <w:rsid w:val="55805F3E"/>
    <w:rsid w:val="558957AE"/>
    <w:rsid w:val="558D41B7"/>
    <w:rsid w:val="558D51F5"/>
    <w:rsid w:val="559032A2"/>
    <w:rsid w:val="559277C7"/>
    <w:rsid w:val="55983257"/>
    <w:rsid w:val="559D089E"/>
    <w:rsid w:val="55A573C0"/>
    <w:rsid w:val="55B31438"/>
    <w:rsid w:val="55B56EC0"/>
    <w:rsid w:val="55BD1979"/>
    <w:rsid w:val="55C53951"/>
    <w:rsid w:val="55D23B8E"/>
    <w:rsid w:val="55D63DB0"/>
    <w:rsid w:val="55DB3175"/>
    <w:rsid w:val="55F15406"/>
    <w:rsid w:val="55F21091"/>
    <w:rsid w:val="561C7B02"/>
    <w:rsid w:val="562A3AD1"/>
    <w:rsid w:val="56310FE7"/>
    <w:rsid w:val="563324C5"/>
    <w:rsid w:val="563517ED"/>
    <w:rsid w:val="5639620B"/>
    <w:rsid w:val="56493019"/>
    <w:rsid w:val="566C201F"/>
    <w:rsid w:val="566F540E"/>
    <w:rsid w:val="56727CCF"/>
    <w:rsid w:val="56763C45"/>
    <w:rsid w:val="568220B3"/>
    <w:rsid w:val="568315AE"/>
    <w:rsid w:val="56835CE6"/>
    <w:rsid w:val="568C27AB"/>
    <w:rsid w:val="56927CD7"/>
    <w:rsid w:val="569C0B56"/>
    <w:rsid w:val="56AD68BF"/>
    <w:rsid w:val="56BC6214"/>
    <w:rsid w:val="56CD26C1"/>
    <w:rsid w:val="56E83D9B"/>
    <w:rsid w:val="56F40992"/>
    <w:rsid w:val="56F511BC"/>
    <w:rsid w:val="57004BF9"/>
    <w:rsid w:val="571526B6"/>
    <w:rsid w:val="571F7091"/>
    <w:rsid w:val="5733741C"/>
    <w:rsid w:val="57346FE0"/>
    <w:rsid w:val="573B211D"/>
    <w:rsid w:val="574D3BFE"/>
    <w:rsid w:val="574D6B08"/>
    <w:rsid w:val="575C02E5"/>
    <w:rsid w:val="57755AAE"/>
    <w:rsid w:val="577949F3"/>
    <w:rsid w:val="578962FF"/>
    <w:rsid w:val="57A06543"/>
    <w:rsid w:val="57A42680"/>
    <w:rsid w:val="57A8352A"/>
    <w:rsid w:val="57A947FF"/>
    <w:rsid w:val="57AE3022"/>
    <w:rsid w:val="57AF12F3"/>
    <w:rsid w:val="57C12876"/>
    <w:rsid w:val="57C17C8D"/>
    <w:rsid w:val="57C72A5A"/>
    <w:rsid w:val="57C80481"/>
    <w:rsid w:val="57CB596F"/>
    <w:rsid w:val="57DB240C"/>
    <w:rsid w:val="57E36310"/>
    <w:rsid w:val="57F20F77"/>
    <w:rsid w:val="57F64A30"/>
    <w:rsid w:val="580467B0"/>
    <w:rsid w:val="580811D4"/>
    <w:rsid w:val="5814471C"/>
    <w:rsid w:val="583A23D4"/>
    <w:rsid w:val="58450D79"/>
    <w:rsid w:val="58462D88"/>
    <w:rsid w:val="58466AB3"/>
    <w:rsid w:val="58476934"/>
    <w:rsid w:val="585210FE"/>
    <w:rsid w:val="5857065B"/>
    <w:rsid w:val="585A378B"/>
    <w:rsid w:val="585D60C3"/>
    <w:rsid w:val="58610E09"/>
    <w:rsid w:val="58631715"/>
    <w:rsid w:val="5878286A"/>
    <w:rsid w:val="587873A1"/>
    <w:rsid w:val="588900A2"/>
    <w:rsid w:val="588F020C"/>
    <w:rsid w:val="58944362"/>
    <w:rsid w:val="589D1F31"/>
    <w:rsid w:val="589E51BF"/>
    <w:rsid w:val="58A33A4A"/>
    <w:rsid w:val="58A61818"/>
    <w:rsid w:val="58BE1257"/>
    <w:rsid w:val="58E3481A"/>
    <w:rsid w:val="58EE0F78"/>
    <w:rsid w:val="58F13C2D"/>
    <w:rsid w:val="58F35FB8"/>
    <w:rsid w:val="58F57D9F"/>
    <w:rsid w:val="58FD3DC7"/>
    <w:rsid w:val="590F1AB3"/>
    <w:rsid w:val="59123351"/>
    <w:rsid w:val="591C41D0"/>
    <w:rsid w:val="5923730C"/>
    <w:rsid w:val="59272DB7"/>
    <w:rsid w:val="592A069B"/>
    <w:rsid w:val="592A4546"/>
    <w:rsid w:val="592B78BD"/>
    <w:rsid w:val="593668DA"/>
    <w:rsid w:val="593E5EF4"/>
    <w:rsid w:val="59426F8B"/>
    <w:rsid w:val="59476B94"/>
    <w:rsid w:val="59496EA8"/>
    <w:rsid w:val="594F3C5E"/>
    <w:rsid w:val="595340DE"/>
    <w:rsid w:val="59550D80"/>
    <w:rsid w:val="5959120E"/>
    <w:rsid w:val="59606CD1"/>
    <w:rsid w:val="59613991"/>
    <w:rsid w:val="59652196"/>
    <w:rsid w:val="5966697A"/>
    <w:rsid w:val="596D0ADC"/>
    <w:rsid w:val="59756E4D"/>
    <w:rsid w:val="5979517E"/>
    <w:rsid w:val="597C5713"/>
    <w:rsid w:val="59872605"/>
    <w:rsid w:val="598765E7"/>
    <w:rsid w:val="598C3104"/>
    <w:rsid w:val="598F04FE"/>
    <w:rsid w:val="59927FEE"/>
    <w:rsid w:val="59946C94"/>
    <w:rsid w:val="599C1573"/>
    <w:rsid w:val="599C5A9C"/>
    <w:rsid w:val="599F37FD"/>
    <w:rsid w:val="59A55A73"/>
    <w:rsid w:val="59A57D21"/>
    <w:rsid w:val="59C4289D"/>
    <w:rsid w:val="59C7413C"/>
    <w:rsid w:val="59C95E10"/>
    <w:rsid w:val="59D6612D"/>
    <w:rsid w:val="59D97EC1"/>
    <w:rsid w:val="59E36A9C"/>
    <w:rsid w:val="59E7658C"/>
    <w:rsid w:val="59EA393F"/>
    <w:rsid w:val="59FB5B93"/>
    <w:rsid w:val="59FD3C5A"/>
    <w:rsid w:val="59FE5F4C"/>
    <w:rsid w:val="5A022617"/>
    <w:rsid w:val="5A0B6471"/>
    <w:rsid w:val="5A0C453D"/>
    <w:rsid w:val="5A0F2732"/>
    <w:rsid w:val="5A0F3B18"/>
    <w:rsid w:val="5A0F7891"/>
    <w:rsid w:val="5A1318E7"/>
    <w:rsid w:val="5A164FCD"/>
    <w:rsid w:val="5A183CDA"/>
    <w:rsid w:val="5A210A43"/>
    <w:rsid w:val="5A2F2BED"/>
    <w:rsid w:val="5A317899"/>
    <w:rsid w:val="5A4532B2"/>
    <w:rsid w:val="5A4613C4"/>
    <w:rsid w:val="5A4A451B"/>
    <w:rsid w:val="5A4C1F80"/>
    <w:rsid w:val="5A5175E5"/>
    <w:rsid w:val="5A557999"/>
    <w:rsid w:val="5A581238"/>
    <w:rsid w:val="5A5B1619"/>
    <w:rsid w:val="5A5D05FC"/>
    <w:rsid w:val="5A675CC0"/>
    <w:rsid w:val="5A6805A5"/>
    <w:rsid w:val="5A6D7600"/>
    <w:rsid w:val="5A6E3E9F"/>
    <w:rsid w:val="5A722B41"/>
    <w:rsid w:val="5A845B89"/>
    <w:rsid w:val="5A937FAD"/>
    <w:rsid w:val="5A9A0292"/>
    <w:rsid w:val="5A9D0EEA"/>
    <w:rsid w:val="5AAD617C"/>
    <w:rsid w:val="5AAE0E58"/>
    <w:rsid w:val="5AB0697E"/>
    <w:rsid w:val="5AC16BD3"/>
    <w:rsid w:val="5AC253A4"/>
    <w:rsid w:val="5AD07020"/>
    <w:rsid w:val="5AE378AF"/>
    <w:rsid w:val="5AEB3E5A"/>
    <w:rsid w:val="5AED1980"/>
    <w:rsid w:val="5AF27275"/>
    <w:rsid w:val="5AF406ED"/>
    <w:rsid w:val="5AF91BE2"/>
    <w:rsid w:val="5AFD593B"/>
    <w:rsid w:val="5B0311A3"/>
    <w:rsid w:val="5B0565B0"/>
    <w:rsid w:val="5B062A42"/>
    <w:rsid w:val="5B080B75"/>
    <w:rsid w:val="5B0E7B48"/>
    <w:rsid w:val="5B1523DC"/>
    <w:rsid w:val="5B2618ED"/>
    <w:rsid w:val="5B280C0A"/>
    <w:rsid w:val="5B370E4D"/>
    <w:rsid w:val="5B381EE0"/>
    <w:rsid w:val="5B3C2FBB"/>
    <w:rsid w:val="5B3C36BE"/>
    <w:rsid w:val="5B501F0F"/>
    <w:rsid w:val="5B5A2D8E"/>
    <w:rsid w:val="5B637E94"/>
    <w:rsid w:val="5B691514"/>
    <w:rsid w:val="5B7A6F8C"/>
    <w:rsid w:val="5B7E6EF0"/>
    <w:rsid w:val="5B834092"/>
    <w:rsid w:val="5B85605C"/>
    <w:rsid w:val="5B86571B"/>
    <w:rsid w:val="5B9242D5"/>
    <w:rsid w:val="5BA672D8"/>
    <w:rsid w:val="5BE0601A"/>
    <w:rsid w:val="5BEC61F6"/>
    <w:rsid w:val="5BF50A4C"/>
    <w:rsid w:val="5BFD6653"/>
    <w:rsid w:val="5BFF6736"/>
    <w:rsid w:val="5C0276AD"/>
    <w:rsid w:val="5C076A71"/>
    <w:rsid w:val="5C2011A2"/>
    <w:rsid w:val="5C20565E"/>
    <w:rsid w:val="5C28559F"/>
    <w:rsid w:val="5C2F5FC8"/>
    <w:rsid w:val="5C3D1292"/>
    <w:rsid w:val="5C3F2626"/>
    <w:rsid w:val="5C3F26AF"/>
    <w:rsid w:val="5C401F83"/>
    <w:rsid w:val="5C4D24E3"/>
    <w:rsid w:val="5C4F7F67"/>
    <w:rsid w:val="5C731049"/>
    <w:rsid w:val="5C732359"/>
    <w:rsid w:val="5C757E7F"/>
    <w:rsid w:val="5C7834CB"/>
    <w:rsid w:val="5C797243"/>
    <w:rsid w:val="5C847E10"/>
    <w:rsid w:val="5C891B7C"/>
    <w:rsid w:val="5C891DD6"/>
    <w:rsid w:val="5C900E0D"/>
    <w:rsid w:val="5C912FD8"/>
    <w:rsid w:val="5C936557"/>
    <w:rsid w:val="5C95407D"/>
    <w:rsid w:val="5CA22C3E"/>
    <w:rsid w:val="5CA2679A"/>
    <w:rsid w:val="5CAB7DB6"/>
    <w:rsid w:val="5CAF2C65"/>
    <w:rsid w:val="5CBD5382"/>
    <w:rsid w:val="5CC46711"/>
    <w:rsid w:val="5CCB3F53"/>
    <w:rsid w:val="5CCD0289"/>
    <w:rsid w:val="5CCD46C6"/>
    <w:rsid w:val="5CCF3929"/>
    <w:rsid w:val="5CD050B5"/>
    <w:rsid w:val="5CD32DF8"/>
    <w:rsid w:val="5CDF179C"/>
    <w:rsid w:val="5CE73A84"/>
    <w:rsid w:val="5CE92450"/>
    <w:rsid w:val="5CED3EB9"/>
    <w:rsid w:val="5CEF4B81"/>
    <w:rsid w:val="5CF50FC0"/>
    <w:rsid w:val="5D077CA4"/>
    <w:rsid w:val="5D0E7BE5"/>
    <w:rsid w:val="5D101956"/>
    <w:rsid w:val="5D162894"/>
    <w:rsid w:val="5D2D3AF7"/>
    <w:rsid w:val="5D380F60"/>
    <w:rsid w:val="5D3B45A0"/>
    <w:rsid w:val="5D411690"/>
    <w:rsid w:val="5D460C52"/>
    <w:rsid w:val="5D551A5E"/>
    <w:rsid w:val="5D5E0FF9"/>
    <w:rsid w:val="5D64252B"/>
    <w:rsid w:val="5D731EE5"/>
    <w:rsid w:val="5D755C5D"/>
    <w:rsid w:val="5D777911"/>
    <w:rsid w:val="5D784E30"/>
    <w:rsid w:val="5D795B84"/>
    <w:rsid w:val="5D7D563E"/>
    <w:rsid w:val="5D7E2E3C"/>
    <w:rsid w:val="5D7F6ADB"/>
    <w:rsid w:val="5D800812"/>
    <w:rsid w:val="5D86525F"/>
    <w:rsid w:val="5D872CC5"/>
    <w:rsid w:val="5D874395"/>
    <w:rsid w:val="5D8B0E4F"/>
    <w:rsid w:val="5D9161DD"/>
    <w:rsid w:val="5D9C0A65"/>
    <w:rsid w:val="5DA12EF6"/>
    <w:rsid w:val="5DB84CAF"/>
    <w:rsid w:val="5DBF0831"/>
    <w:rsid w:val="5DC45449"/>
    <w:rsid w:val="5DC91AF5"/>
    <w:rsid w:val="5DE54B90"/>
    <w:rsid w:val="5DE652E7"/>
    <w:rsid w:val="5DE84681"/>
    <w:rsid w:val="5DEE5052"/>
    <w:rsid w:val="5DEF3C61"/>
    <w:rsid w:val="5DF15F65"/>
    <w:rsid w:val="5DF87736"/>
    <w:rsid w:val="5DFC012C"/>
    <w:rsid w:val="5E0031D5"/>
    <w:rsid w:val="5E084D23"/>
    <w:rsid w:val="5E0D2339"/>
    <w:rsid w:val="5E1458F9"/>
    <w:rsid w:val="5E194C8F"/>
    <w:rsid w:val="5E2717C5"/>
    <w:rsid w:val="5E2733FB"/>
    <w:rsid w:val="5E2B00B3"/>
    <w:rsid w:val="5E2E2967"/>
    <w:rsid w:val="5E2F22B0"/>
    <w:rsid w:val="5E324023"/>
    <w:rsid w:val="5E3C161D"/>
    <w:rsid w:val="5E4D0F82"/>
    <w:rsid w:val="5E535813"/>
    <w:rsid w:val="5E591B74"/>
    <w:rsid w:val="5E5B74AB"/>
    <w:rsid w:val="5E607D94"/>
    <w:rsid w:val="5E6C7060"/>
    <w:rsid w:val="5E734AAE"/>
    <w:rsid w:val="5E757AFE"/>
    <w:rsid w:val="5E7D7A59"/>
    <w:rsid w:val="5E7D7B97"/>
    <w:rsid w:val="5E84479E"/>
    <w:rsid w:val="5E895E64"/>
    <w:rsid w:val="5EA22D8F"/>
    <w:rsid w:val="5EA339B0"/>
    <w:rsid w:val="5EAD2B49"/>
    <w:rsid w:val="5ED34696"/>
    <w:rsid w:val="5ED41D64"/>
    <w:rsid w:val="5ED847C0"/>
    <w:rsid w:val="5EDD7F5D"/>
    <w:rsid w:val="5EE906B0"/>
    <w:rsid w:val="5EEA5687"/>
    <w:rsid w:val="5EEF7F00"/>
    <w:rsid w:val="5EF74653"/>
    <w:rsid w:val="5F026A8B"/>
    <w:rsid w:val="5F0C2BEF"/>
    <w:rsid w:val="5F24797B"/>
    <w:rsid w:val="5F250A54"/>
    <w:rsid w:val="5F28764F"/>
    <w:rsid w:val="5F2B2D27"/>
    <w:rsid w:val="5F315875"/>
    <w:rsid w:val="5F3B1141"/>
    <w:rsid w:val="5F404CA6"/>
    <w:rsid w:val="5F585836"/>
    <w:rsid w:val="5F593A88"/>
    <w:rsid w:val="5F682FDD"/>
    <w:rsid w:val="5F697A43"/>
    <w:rsid w:val="5F6F7001"/>
    <w:rsid w:val="5F7268F8"/>
    <w:rsid w:val="5F756907"/>
    <w:rsid w:val="5F772000"/>
    <w:rsid w:val="5F7B6716"/>
    <w:rsid w:val="5F7D7E59"/>
    <w:rsid w:val="5F9A2CE6"/>
    <w:rsid w:val="5FA6034F"/>
    <w:rsid w:val="5FA713C9"/>
    <w:rsid w:val="5FAD429C"/>
    <w:rsid w:val="5FB40CBE"/>
    <w:rsid w:val="5FBA3DFB"/>
    <w:rsid w:val="5FBE1B3D"/>
    <w:rsid w:val="5FC30F01"/>
    <w:rsid w:val="5FCA04E2"/>
    <w:rsid w:val="5FD276B3"/>
    <w:rsid w:val="5FDF08B0"/>
    <w:rsid w:val="5FDF3861"/>
    <w:rsid w:val="5FE80968"/>
    <w:rsid w:val="5FE9165D"/>
    <w:rsid w:val="5FEB7E55"/>
    <w:rsid w:val="5FF043DC"/>
    <w:rsid w:val="5FF45944"/>
    <w:rsid w:val="5FF65485"/>
    <w:rsid w:val="5FF73822"/>
    <w:rsid w:val="5FFE1F39"/>
    <w:rsid w:val="600148FE"/>
    <w:rsid w:val="600734E4"/>
    <w:rsid w:val="600D2A18"/>
    <w:rsid w:val="600E5C5C"/>
    <w:rsid w:val="60103DE6"/>
    <w:rsid w:val="60114363"/>
    <w:rsid w:val="6017314A"/>
    <w:rsid w:val="601B679D"/>
    <w:rsid w:val="60234C2A"/>
    <w:rsid w:val="60261490"/>
    <w:rsid w:val="6029160A"/>
    <w:rsid w:val="60341DDA"/>
    <w:rsid w:val="603578A1"/>
    <w:rsid w:val="60430294"/>
    <w:rsid w:val="60540E27"/>
    <w:rsid w:val="605B3830"/>
    <w:rsid w:val="605F3D77"/>
    <w:rsid w:val="606679E0"/>
    <w:rsid w:val="60762418"/>
    <w:rsid w:val="607A0954"/>
    <w:rsid w:val="607B2DB2"/>
    <w:rsid w:val="60805770"/>
    <w:rsid w:val="60911000"/>
    <w:rsid w:val="60966616"/>
    <w:rsid w:val="609677F7"/>
    <w:rsid w:val="60AF7D10"/>
    <w:rsid w:val="60B151FE"/>
    <w:rsid w:val="60BA67A8"/>
    <w:rsid w:val="60BE5437"/>
    <w:rsid w:val="60C37EB3"/>
    <w:rsid w:val="60C56038"/>
    <w:rsid w:val="60C72C73"/>
    <w:rsid w:val="60C9125D"/>
    <w:rsid w:val="60C94FD7"/>
    <w:rsid w:val="60CA45A3"/>
    <w:rsid w:val="60D92ECE"/>
    <w:rsid w:val="60E5134B"/>
    <w:rsid w:val="60F128D8"/>
    <w:rsid w:val="60F91CC8"/>
    <w:rsid w:val="60FD08EC"/>
    <w:rsid w:val="61024E7E"/>
    <w:rsid w:val="610C14FE"/>
    <w:rsid w:val="610D521F"/>
    <w:rsid w:val="61307F2A"/>
    <w:rsid w:val="61493688"/>
    <w:rsid w:val="61535C24"/>
    <w:rsid w:val="615D50B2"/>
    <w:rsid w:val="616235BA"/>
    <w:rsid w:val="61625BB6"/>
    <w:rsid w:val="616505CF"/>
    <w:rsid w:val="61691F7C"/>
    <w:rsid w:val="617E5876"/>
    <w:rsid w:val="617E7959"/>
    <w:rsid w:val="619E7FB3"/>
    <w:rsid w:val="61A46EE2"/>
    <w:rsid w:val="61A76923"/>
    <w:rsid w:val="61AA6AAE"/>
    <w:rsid w:val="61AD00BB"/>
    <w:rsid w:val="61AE52C3"/>
    <w:rsid w:val="61BC3E5A"/>
    <w:rsid w:val="61BF394A"/>
    <w:rsid w:val="61C8450E"/>
    <w:rsid w:val="61CB5106"/>
    <w:rsid w:val="61CD42B9"/>
    <w:rsid w:val="61DB0ADF"/>
    <w:rsid w:val="61E11B13"/>
    <w:rsid w:val="61E97616"/>
    <w:rsid w:val="61EA4E6B"/>
    <w:rsid w:val="61EB2991"/>
    <w:rsid w:val="61F27DF7"/>
    <w:rsid w:val="61F335F4"/>
    <w:rsid w:val="61FC5470"/>
    <w:rsid w:val="62031A89"/>
    <w:rsid w:val="62083543"/>
    <w:rsid w:val="621C616D"/>
    <w:rsid w:val="622167EE"/>
    <w:rsid w:val="62265778"/>
    <w:rsid w:val="622823C1"/>
    <w:rsid w:val="622D7A25"/>
    <w:rsid w:val="622F29DC"/>
    <w:rsid w:val="62312A9A"/>
    <w:rsid w:val="623C31ED"/>
    <w:rsid w:val="624205E3"/>
    <w:rsid w:val="62522A10"/>
    <w:rsid w:val="62530901"/>
    <w:rsid w:val="625A43FE"/>
    <w:rsid w:val="625B7B17"/>
    <w:rsid w:val="626C5880"/>
    <w:rsid w:val="62775FD3"/>
    <w:rsid w:val="627F5B10"/>
    <w:rsid w:val="62845062"/>
    <w:rsid w:val="62864468"/>
    <w:rsid w:val="62870DB9"/>
    <w:rsid w:val="628C5350"/>
    <w:rsid w:val="629645D3"/>
    <w:rsid w:val="629B694E"/>
    <w:rsid w:val="62A74B0A"/>
    <w:rsid w:val="62A80882"/>
    <w:rsid w:val="62B34B4E"/>
    <w:rsid w:val="62BB0B03"/>
    <w:rsid w:val="62BD1C68"/>
    <w:rsid w:val="62C14935"/>
    <w:rsid w:val="62C236F2"/>
    <w:rsid w:val="62C25AB2"/>
    <w:rsid w:val="62D6562F"/>
    <w:rsid w:val="62DC4A0B"/>
    <w:rsid w:val="62E96FF4"/>
    <w:rsid w:val="62FB09B2"/>
    <w:rsid w:val="63027F93"/>
    <w:rsid w:val="63057A83"/>
    <w:rsid w:val="630E2C7E"/>
    <w:rsid w:val="630F5135"/>
    <w:rsid w:val="63150119"/>
    <w:rsid w:val="631F28F3"/>
    <w:rsid w:val="632048BD"/>
    <w:rsid w:val="63214FE8"/>
    <w:rsid w:val="632B573B"/>
    <w:rsid w:val="632F7D91"/>
    <w:rsid w:val="63360FCC"/>
    <w:rsid w:val="63422A85"/>
    <w:rsid w:val="634405AB"/>
    <w:rsid w:val="63440739"/>
    <w:rsid w:val="635051A2"/>
    <w:rsid w:val="63785721"/>
    <w:rsid w:val="637A5CFB"/>
    <w:rsid w:val="638101CB"/>
    <w:rsid w:val="63861992"/>
    <w:rsid w:val="638C3D00"/>
    <w:rsid w:val="638E27B9"/>
    <w:rsid w:val="639130C5"/>
    <w:rsid w:val="639C1749"/>
    <w:rsid w:val="639D7CBB"/>
    <w:rsid w:val="639F1C85"/>
    <w:rsid w:val="63A021A6"/>
    <w:rsid w:val="63B219B9"/>
    <w:rsid w:val="63B46B6E"/>
    <w:rsid w:val="63B653B9"/>
    <w:rsid w:val="63BE3415"/>
    <w:rsid w:val="63C85988"/>
    <w:rsid w:val="63D907DD"/>
    <w:rsid w:val="63E21E93"/>
    <w:rsid w:val="63EB2476"/>
    <w:rsid w:val="6400109A"/>
    <w:rsid w:val="640231ED"/>
    <w:rsid w:val="640507C9"/>
    <w:rsid w:val="640D4E41"/>
    <w:rsid w:val="64132F5B"/>
    <w:rsid w:val="641461CF"/>
    <w:rsid w:val="64307158"/>
    <w:rsid w:val="643E4565"/>
    <w:rsid w:val="64405216"/>
    <w:rsid w:val="6446770C"/>
    <w:rsid w:val="64540CEA"/>
    <w:rsid w:val="64667A0E"/>
    <w:rsid w:val="649C034A"/>
    <w:rsid w:val="64A357A5"/>
    <w:rsid w:val="64B527F0"/>
    <w:rsid w:val="64B654D9"/>
    <w:rsid w:val="64CC6AAA"/>
    <w:rsid w:val="64CF20F6"/>
    <w:rsid w:val="64DC5F4A"/>
    <w:rsid w:val="64E8140A"/>
    <w:rsid w:val="64F20F01"/>
    <w:rsid w:val="64F63B27"/>
    <w:rsid w:val="64F74C7A"/>
    <w:rsid w:val="64FD0FC5"/>
    <w:rsid w:val="6505783C"/>
    <w:rsid w:val="65097CF1"/>
    <w:rsid w:val="650A037B"/>
    <w:rsid w:val="650F10DB"/>
    <w:rsid w:val="65131332"/>
    <w:rsid w:val="6524381D"/>
    <w:rsid w:val="652536CF"/>
    <w:rsid w:val="6525440C"/>
    <w:rsid w:val="6525444C"/>
    <w:rsid w:val="65290757"/>
    <w:rsid w:val="6529742C"/>
    <w:rsid w:val="653879EF"/>
    <w:rsid w:val="65444892"/>
    <w:rsid w:val="654C7272"/>
    <w:rsid w:val="656C3DE9"/>
    <w:rsid w:val="656E2BBA"/>
    <w:rsid w:val="65740A9D"/>
    <w:rsid w:val="65757142"/>
    <w:rsid w:val="657D43EC"/>
    <w:rsid w:val="65962139"/>
    <w:rsid w:val="659A2704"/>
    <w:rsid w:val="659C46CE"/>
    <w:rsid w:val="659E755E"/>
    <w:rsid w:val="659F13CB"/>
    <w:rsid w:val="65AE61B0"/>
    <w:rsid w:val="65B92BF9"/>
    <w:rsid w:val="65BD5CAF"/>
    <w:rsid w:val="65C21C5B"/>
    <w:rsid w:val="65CB5312"/>
    <w:rsid w:val="65D5373C"/>
    <w:rsid w:val="65E505B2"/>
    <w:rsid w:val="65E9368C"/>
    <w:rsid w:val="65FF6A0B"/>
    <w:rsid w:val="660E4EA0"/>
    <w:rsid w:val="66183441"/>
    <w:rsid w:val="661C532E"/>
    <w:rsid w:val="661D425A"/>
    <w:rsid w:val="66246472"/>
    <w:rsid w:val="6627677E"/>
    <w:rsid w:val="66285F62"/>
    <w:rsid w:val="664245CF"/>
    <w:rsid w:val="664433A4"/>
    <w:rsid w:val="66482160"/>
    <w:rsid w:val="664A7AF6"/>
    <w:rsid w:val="66644AC0"/>
    <w:rsid w:val="6665529D"/>
    <w:rsid w:val="66724235"/>
    <w:rsid w:val="66810740"/>
    <w:rsid w:val="668F765E"/>
    <w:rsid w:val="669A125A"/>
    <w:rsid w:val="66A3437E"/>
    <w:rsid w:val="66A529C4"/>
    <w:rsid w:val="66A80E51"/>
    <w:rsid w:val="66AD0FB9"/>
    <w:rsid w:val="66AD290B"/>
    <w:rsid w:val="66AF0431"/>
    <w:rsid w:val="66AF7B76"/>
    <w:rsid w:val="66B01C73"/>
    <w:rsid w:val="66B772E6"/>
    <w:rsid w:val="66B96DD6"/>
    <w:rsid w:val="66BB54C8"/>
    <w:rsid w:val="66C33EDD"/>
    <w:rsid w:val="66C37A39"/>
    <w:rsid w:val="66EA1469"/>
    <w:rsid w:val="66EA76BB"/>
    <w:rsid w:val="670C2FE7"/>
    <w:rsid w:val="670D0D57"/>
    <w:rsid w:val="672222F5"/>
    <w:rsid w:val="672901E4"/>
    <w:rsid w:val="67357BB4"/>
    <w:rsid w:val="673732FF"/>
    <w:rsid w:val="673C0D85"/>
    <w:rsid w:val="674566A0"/>
    <w:rsid w:val="6759039D"/>
    <w:rsid w:val="675B4115"/>
    <w:rsid w:val="67AB58B5"/>
    <w:rsid w:val="67AB6E7B"/>
    <w:rsid w:val="67AE797F"/>
    <w:rsid w:val="67B21E9E"/>
    <w:rsid w:val="67BC3EEB"/>
    <w:rsid w:val="67BE3CFF"/>
    <w:rsid w:val="67C043D8"/>
    <w:rsid w:val="67D55C76"/>
    <w:rsid w:val="67E351F4"/>
    <w:rsid w:val="67E75630"/>
    <w:rsid w:val="67E84473"/>
    <w:rsid w:val="67EB387B"/>
    <w:rsid w:val="67F706CE"/>
    <w:rsid w:val="67FF0F45"/>
    <w:rsid w:val="67FF6F34"/>
    <w:rsid w:val="68044248"/>
    <w:rsid w:val="68071BA7"/>
    <w:rsid w:val="680C5410"/>
    <w:rsid w:val="68123E4F"/>
    <w:rsid w:val="681263E4"/>
    <w:rsid w:val="681E586F"/>
    <w:rsid w:val="682D3D04"/>
    <w:rsid w:val="683B1582"/>
    <w:rsid w:val="683E7CBF"/>
    <w:rsid w:val="684E372E"/>
    <w:rsid w:val="6858337C"/>
    <w:rsid w:val="68660534"/>
    <w:rsid w:val="68661E4F"/>
    <w:rsid w:val="68675B62"/>
    <w:rsid w:val="68685040"/>
    <w:rsid w:val="686B23DF"/>
    <w:rsid w:val="68703BF0"/>
    <w:rsid w:val="687915AF"/>
    <w:rsid w:val="687A43C2"/>
    <w:rsid w:val="687E6519"/>
    <w:rsid w:val="68913721"/>
    <w:rsid w:val="68A119E2"/>
    <w:rsid w:val="68A14337"/>
    <w:rsid w:val="68AE1C76"/>
    <w:rsid w:val="68B6512B"/>
    <w:rsid w:val="68B65AA7"/>
    <w:rsid w:val="68B94C4B"/>
    <w:rsid w:val="68BE670A"/>
    <w:rsid w:val="68C67D2C"/>
    <w:rsid w:val="68CB0480"/>
    <w:rsid w:val="68D511B8"/>
    <w:rsid w:val="68E819D9"/>
    <w:rsid w:val="68FB795E"/>
    <w:rsid w:val="68FD4245"/>
    <w:rsid w:val="69036813"/>
    <w:rsid w:val="691E364C"/>
    <w:rsid w:val="692266A2"/>
    <w:rsid w:val="69270D9D"/>
    <w:rsid w:val="692D388F"/>
    <w:rsid w:val="69323AF1"/>
    <w:rsid w:val="693B1EF8"/>
    <w:rsid w:val="693B52EF"/>
    <w:rsid w:val="694E5B02"/>
    <w:rsid w:val="69650A76"/>
    <w:rsid w:val="696A4177"/>
    <w:rsid w:val="69707E5A"/>
    <w:rsid w:val="69781B20"/>
    <w:rsid w:val="697B7342"/>
    <w:rsid w:val="69800D82"/>
    <w:rsid w:val="698A092C"/>
    <w:rsid w:val="698A6F34"/>
    <w:rsid w:val="698E199A"/>
    <w:rsid w:val="6990254A"/>
    <w:rsid w:val="699851AD"/>
    <w:rsid w:val="69A17ABB"/>
    <w:rsid w:val="69A704EF"/>
    <w:rsid w:val="69A90040"/>
    <w:rsid w:val="69B47B0D"/>
    <w:rsid w:val="69BB7B9A"/>
    <w:rsid w:val="69C304E2"/>
    <w:rsid w:val="69C64718"/>
    <w:rsid w:val="69C935B8"/>
    <w:rsid w:val="69CC142F"/>
    <w:rsid w:val="69D32689"/>
    <w:rsid w:val="69DD2741"/>
    <w:rsid w:val="69DF0C7B"/>
    <w:rsid w:val="69DF47A3"/>
    <w:rsid w:val="69E614C1"/>
    <w:rsid w:val="69EC0ABC"/>
    <w:rsid w:val="69FA04D3"/>
    <w:rsid w:val="69FE3426"/>
    <w:rsid w:val="6A0445F0"/>
    <w:rsid w:val="6A054E18"/>
    <w:rsid w:val="6A116689"/>
    <w:rsid w:val="6A2353BE"/>
    <w:rsid w:val="6A240198"/>
    <w:rsid w:val="6A26539B"/>
    <w:rsid w:val="6A274783"/>
    <w:rsid w:val="6A2829D5"/>
    <w:rsid w:val="6A2E3D63"/>
    <w:rsid w:val="6A335EA2"/>
    <w:rsid w:val="6A40536A"/>
    <w:rsid w:val="6A452BE9"/>
    <w:rsid w:val="6A486BD3"/>
    <w:rsid w:val="6A5029FF"/>
    <w:rsid w:val="6A6D488B"/>
    <w:rsid w:val="6A701E0C"/>
    <w:rsid w:val="6A721EA2"/>
    <w:rsid w:val="6A794FDE"/>
    <w:rsid w:val="6A796BC9"/>
    <w:rsid w:val="6A9B49DC"/>
    <w:rsid w:val="6AA66D0E"/>
    <w:rsid w:val="6AAB5D6B"/>
    <w:rsid w:val="6AAD6A36"/>
    <w:rsid w:val="6AAE27AE"/>
    <w:rsid w:val="6AB25FC3"/>
    <w:rsid w:val="6AB273B7"/>
    <w:rsid w:val="6AC94D12"/>
    <w:rsid w:val="6ACB1DB3"/>
    <w:rsid w:val="6ACF10A2"/>
    <w:rsid w:val="6AD5593D"/>
    <w:rsid w:val="6AD77F57"/>
    <w:rsid w:val="6AE169D6"/>
    <w:rsid w:val="6AE35D34"/>
    <w:rsid w:val="6AE80A4D"/>
    <w:rsid w:val="6AF02DC7"/>
    <w:rsid w:val="6B0246D4"/>
    <w:rsid w:val="6B081EA7"/>
    <w:rsid w:val="6B0A3E88"/>
    <w:rsid w:val="6B144D07"/>
    <w:rsid w:val="6B2D313E"/>
    <w:rsid w:val="6B2F38EF"/>
    <w:rsid w:val="6B301415"/>
    <w:rsid w:val="6B3E6A87"/>
    <w:rsid w:val="6B3F5A63"/>
    <w:rsid w:val="6B3F7DEE"/>
    <w:rsid w:val="6B427AC6"/>
    <w:rsid w:val="6B453FD3"/>
    <w:rsid w:val="6B461047"/>
    <w:rsid w:val="6B4F3F91"/>
    <w:rsid w:val="6B60202C"/>
    <w:rsid w:val="6B7353B1"/>
    <w:rsid w:val="6B780F23"/>
    <w:rsid w:val="6B851761"/>
    <w:rsid w:val="6B9145AA"/>
    <w:rsid w:val="6B9237A2"/>
    <w:rsid w:val="6B9F6CC6"/>
    <w:rsid w:val="6BA31DD3"/>
    <w:rsid w:val="6BA4424A"/>
    <w:rsid w:val="6BAC3191"/>
    <w:rsid w:val="6BAC3EA4"/>
    <w:rsid w:val="6BAF7E78"/>
    <w:rsid w:val="6BB26A4E"/>
    <w:rsid w:val="6BBA58AE"/>
    <w:rsid w:val="6BBF2EC5"/>
    <w:rsid w:val="6BE24939"/>
    <w:rsid w:val="6BEC7A32"/>
    <w:rsid w:val="6BEE5558"/>
    <w:rsid w:val="6BF91970"/>
    <w:rsid w:val="6C046B2A"/>
    <w:rsid w:val="6C080C34"/>
    <w:rsid w:val="6C0E248F"/>
    <w:rsid w:val="6C11621C"/>
    <w:rsid w:val="6C152EA7"/>
    <w:rsid w:val="6C1877FB"/>
    <w:rsid w:val="6C272A27"/>
    <w:rsid w:val="6C2E6E78"/>
    <w:rsid w:val="6C305B70"/>
    <w:rsid w:val="6C315445"/>
    <w:rsid w:val="6C3A69EF"/>
    <w:rsid w:val="6C3F3BE4"/>
    <w:rsid w:val="6C424BA8"/>
    <w:rsid w:val="6C472EBA"/>
    <w:rsid w:val="6C4B1577"/>
    <w:rsid w:val="6C5A45A2"/>
    <w:rsid w:val="6C5E0BA5"/>
    <w:rsid w:val="6C627CF4"/>
    <w:rsid w:val="6C6D5692"/>
    <w:rsid w:val="6C6E6699"/>
    <w:rsid w:val="6C6F0287"/>
    <w:rsid w:val="6C723639"/>
    <w:rsid w:val="6C757A27"/>
    <w:rsid w:val="6C81461E"/>
    <w:rsid w:val="6C8B7EEA"/>
    <w:rsid w:val="6C917EA0"/>
    <w:rsid w:val="6C9B49B2"/>
    <w:rsid w:val="6CA53244"/>
    <w:rsid w:val="6CC2270C"/>
    <w:rsid w:val="6CC33E54"/>
    <w:rsid w:val="6CC85DA9"/>
    <w:rsid w:val="6CCF2381"/>
    <w:rsid w:val="6CCF7062"/>
    <w:rsid w:val="6CD61C8C"/>
    <w:rsid w:val="6CD707B6"/>
    <w:rsid w:val="6CE250E0"/>
    <w:rsid w:val="6CE25B2A"/>
    <w:rsid w:val="6CE626D3"/>
    <w:rsid w:val="6CF04D7D"/>
    <w:rsid w:val="6CF3094C"/>
    <w:rsid w:val="6CF54757"/>
    <w:rsid w:val="6CF76471"/>
    <w:rsid w:val="6CFE2EDC"/>
    <w:rsid w:val="6D0A7EAF"/>
    <w:rsid w:val="6D1014FE"/>
    <w:rsid w:val="6D1A237D"/>
    <w:rsid w:val="6D1B3DAF"/>
    <w:rsid w:val="6D1E02BE"/>
    <w:rsid w:val="6D240700"/>
    <w:rsid w:val="6D2C3CC6"/>
    <w:rsid w:val="6D325918"/>
    <w:rsid w:val="6D377F0E"/>
    <w:rsid w:val="6D3E58DB"/>
    <w:rsid w:val="6D4F64CA"/>
    <w:rsid w:val="6D512242"/>
    <w:rsid w:val="6D651C4A"/>
    <w:rsid w:val="6D651FE1"/>
    <w:rsid w:val="6D6535F8"/>
    <w:rsid w:val="6D6E0541"/>
    <w:rsid w:val="6D7C0F14"/>
    <w:rsid w:val="6D8F4B19"/>
    <w:rsid w:val="6D9E2FAE"/>
    <w:rsid w:val="6DA20F8E"/>
    <w:rsid w:val="6DB261F4"/>
    <w:rsid w:val="6DB66549"/>
    <w:rsid w:val="6DBB6C6A"/>
    <w:rsid w:val="6DC04CD2"/>
    <w:rsid w:val="6DC24EEE"/>
    <w:rsid w:val="6DC37653"/>
    <w:rsid w:val="6DD2500B"/>
    <w:rsid w:val="6DDD3AD6"/>
    <w:rsid w:val="6DF36E56"/>
    <w:rsid w:val="6DF4539A"/>
    <w:rsid w:val="6DFB3967"/>
    <w:rsid w:val="6E074884"/>
    <w:rsid w:val="6E0C43BB"/>
    <w:rsid w:val="6E0F7A08"/>
    <w:rsid w:val="6E113780"/>
    <w:rsid w:val="6E166F6D"/>
    <w:rsid w:val="6E2B2A93"/>
    <w:rsid w:val="6E2E4332"/>
    <w:rsid w:val="6E46167B"/>
    <w:rsid w:val="6E474570"/>
    <w:rsid w:val="6E4A01F5"/>
    <w:rsid w:val="6E4F6056"/>
    <w:rsid w:val="6E537494"/>
    <w:rsid w:val="6E5748B7"/>
    <w:rsid w:val="6E5B2C4D"/>
    <w:rsid w:val="6E5C256C"/>
    <w:rsid w:val="6E661D1D"/>
    <w:rsid w:val="6E6962C2"/>
    <w:rsid w:val="6E8E6B7E"/>
    <w:rsid w:val="6E9622DD"/>
    <w:rsid w:val="6EB56801"/>
    <w:rsid w:val="6ED81F4F"/>
    <w:rsid w:val="6EF000CC"/>
    <w:rsid w:val="6EFB314E"/>
    <w:rsid w:val="6F135821"/>
    <w:rsid w:val="6F2105D2"/>
    <w:rsid w:val="6F2224CF"/>
    <w:rsid w:val="6F277E3D"/>
    <w:rsid w:val="6F2F65B3"/>
    <w:rsid w:val="6F3029F7"/>
    <w:rsid w:val="6F324000"/>
    <w:rsid w:val="6F433BCC"/>
    <w:rsid w:val="6F4F00B9"/>
    <w:rsid w:val="6F572374"/>
    <w:rsid w:val="6F593870"/>
    <w:rsid w:val="6F6618A9"/>
    <w:rsid w:val="6F7044D6"/>
    <w:rsid w:val="6F745D74"/>
    <w:rsid w:val="6F773AB6"/>
    <w:rsid w:val="6F7A7103"/>
    <w:rsid w:val="6F8436BA"/>
    <w:rsid w:val="6F961A20"/>
    <w:rsid w:val="6F9F0A2E"/>
    <w:rsid w:val="6FA04359"/>
    <w:rsid w:val="6FAB0FD7"/>
    <w:rsid w:val="6FBA7E3F"/>
    <w:rsid w:val="6FC84312"/>
    <w:rsid w:val="6FCB457A"/>
    <w:rsid w:val="6FD1766A"/>
    <w:rsid w:val="6FD17AB4"/>
    <w:rsid w:val="6FDB53B8"/>
    <w:rsid w:val="6FDE01D7"/>
    <w:rsid w:val="6FDE6BC0"/>
    <w:rsid w:val="6FEA24DA"/>
    <w:rsid w:val="6FEA4288"/>
    <w:rsid w:val="6FF30F58"/>
    <w:rsid w:val="6FF40C10"/>
    <w:rsid w:val="6FF70753"/>
    <w:rsid w:val="6FF85013"/>
    <w:rsid w:val="6FFD4CE9"/>
    <w:rsid w:val="700A492A"/>
    <w:rsid w:val="70134F82"/>
    <w:rsid w:val="701632CF"/>
    <w:rsid w:val="70291255"/>
    <w:rsid w:val="70296376"/>
    <w:rsid w:val="702C4072"/>
    <w:rsid w:val="702C62F4"/>
    <w:rsid w:val="70310109"/>
    <w:rsid w:val="70325603"/>
    <w:rsid w:val="70357BF9"/>
    <w:rsid w:val="7038023E"/>
    <w:rsid w:val="703F79E5"/>
    <w:rsid w:val="70447E3C"/>
    <w:rsid w:val="705078C9"/>
    <w:rsid w:val="70540D9F"/>
    <w:rsid w:val="70746174"/>
    <w:rsid w:val="708108D6"/>
    <w:rsid w:val="709152C5"/>
    <w:rsid w:val="70992FE9"/>
    <w:rsid w:val="709B37D5"/>
    <w:rsid w:val="709E6E01"/>
    <w:rsid w:val="70AB1C6A"/>
    <w:rsid w:val="70AE49A7"/>
    <w:rsid w:val="70B52C38"/>
    <w:rsid w:val="70B700AB"/>
    <w:rsid w:val="70C132ED"/>
    <w:rsid w:val="70C536AB"/>
    <w:rsid w:val="70C62B56"/>
    <w:rsid w:val="70C836FE"/>
    <w:rsid w:val="70CC1BE0"/>
    <w:rsid w:val="70D16237"/>
    <w:rsid w:val="70D72A5F"/>
    <w:rsid w:val="70DB409C"/>
    <w:rsid w:val="70DE203F"/>
    <w:rsid w:val="70E02E12"/>
    <w:rsid w:val="70EC13D0"/>
    <w:rsid w:val="70ED14C5"/>
    <w:rsid w:val="70EE146C"/>
    <w:rsid w:val="71025602"/>
    <w:rsid w:val="71082169"/>
    <w:rsid w:val="710A2D32"/>
    <w:rsid w:val="711B43B5"/>
    <w:rsid w:val="711D0109"/>
    <w:rsid w:val="71221F08"/>
    <w:rsid w:val="71254493"/>
    <w:rsid w:val="71377715"/>
    <w:rsid w:val="714874B8"/>
    <w:rsid w:val="714D46B1"/>
    <w:rsid w:val="715B1503"/>
    <w:rsid w:val="716F367F"/>
    <w:rsid w:val="717007BD"/>
    <w:rsid w:val="717958C4"/>
    <w:rsid w:val="7185070D"/>
    <w:rsid w:val="718878A6"/>
    <w:rsid w:val="71922E29"/>
    <w:rsid w:val="719646C8"/>
    <w:rsid w:val="71A566B9"/>
    <w:rsid w:val="71B32A85"/>
    <w:rsid w:val="71B64AE3"/>
    <w:rsid w:val="71BA4AD0"/>
    <w:rsid w:val="71BC5812"/>
    <w:rsid w:val="71C16A87"/>
    <w:rsid w:val="71C254BD"/>
    <w:rsid w:val="71C50B09"/>
    <w:rsid w:val="71C559DE"/>
    <w:rsid w:val="71CA611F"/>
    <w:rsid w:val="71D315A6"/>
    <w:rsid w:val="71DA3CB8"/>
    <w:rsid w:val="71E417E1"/>
    <w:rsid w:val="71E74F23"/>
    <w:rsid w:val="72007D93"/>
    <w:rsid w:val="72023B0B"/>
    <w:rsid w:val="72084E9A"/>
    <w:rsid w:val="720930EC"/>
    <w:rsid w:val="72111FA0"/>
    <w:rsid w:val="72114AAA"/>
    <w:rsid w:val="72150BC2"/>
    <w:rsid w:val="72206857"/>
    <w:rsid w:val="722753C4"/>
    <w:rsid w:val="72442376"/>
    <w:rsid w:val="724471CD"/>
    <w:rsid w:val="7258208B"/>
    <w:rsid w:val="72675AE2"/>
    <w:rsid w:val="72730259"/>
    <w:rsid w:val="72757BBD"/>
    <w:rsid w:val="72771FC3"/>
    <w:rsid w:val="727D3A7A"/>
    <w:rsid w:val="72802BDA"/>
    <w:rsid w:val="72916C3D"/>
    <w:rsid w:val="72975334"/>
    <w:rsid w:val="72AB7BBE"/>
    <w:rsid w:val="72AF14FA"/>
    <w:rsid w:val="72C311E7"/>
    <w:rsid w:val="72CA1F1C"/>
    <w:rsid w:val="72D03CD1"/>
    <w:rsid w:val="72D20C05"/>
    <w:rsid w:val="72D35543"/>
    <w:rsid w:val="72DE4B9B"/>
    <w:rsid w:val="72E15E16"/>
    <w:rsid w:val="72E565C0"/>
    <w:rsid w:val="72E7701C"/>
    <w:rsid w:val="72ED5B8D"/>
    <w:rsid w:val="72F07E08"/>
    <w:rsid w:val="72FA1B19"/>
    <w:rsid w:val="72FB055A"/>
    <w:rsid w:val="72FF004B"/>
    <w:rsid w:val="731717E2"/>
    <w:rsid w:val="731C29AB"/>
    <w:rsid w:val="73243B96"/>
    <w:rsid w:val="732D4BB8"/>
    <w:rsid w:val="7334417F"/>
    <w:rsid w:val="7338355D"/>
    <w:rsid w:val="733F51AD"/>
    <w:rsid w:val="73413446"/>
    <w:rsid w:val="73496F51"/>
    <w:rsid w:val="73504D4A"/>
    <w:rsid w:val="7353437B"/>
    <w:rsid w:val="735665A9"/>
    <w:rsid w:val="73726A6F"/>
    <w:rsid w:val="73774085"/>
    <w:rsid w:val="73815490"/>
    <w:rsid w:val="73816CB2"/>
    <w:rsid w:val="73917128"/>
    <w:rsid w:val="73942E89"/>
    <w:rsid w:val="739C0C02"/>
    <w:rsid w:val="739C1A33"/>
    <w:rsid w:val="739E1C0E"/>
    <w:rsid w:val="73A27866"/>
    <w:rsid w:val="73AC26D2"/>
    <w:rsid w:val="73AD4768"/>
    <w:rsid w:val="73B31DD5"/>
    <w:rsid w:val="73B452D9"/>
    <w:rsid w:val="73BA4234"/>
    <w:rsid w:val="73BC5B08"/>
    <w:rsid w:val="73C53659"/>
    <w:rsid w:val="73CB1AEB"/>
    <w:rsid w:val="73CC5F32"/>
    <w:rsid w:val="73CD1EF7"/>
    <w:rsid w:val="73D23271"/>
    <w:rsid w:val="73D80688"/>
    <w:rsid w:val="73EB2977"/>
    <w:rsid w:val="73F41B79"/>
    <w:rsid w:val="73FB4CB6"/>
    <w:rsid w:val="73FB4E7D"/>
    <w:rsid w:val="73FC0A2E"/>
    <w:rsid w:val="73FE455D"/>
    <w:rsid w:val="74065409"/>
    <w:rsid w:val="74096708"/>
    <w:rsid w:val="74116287"/>
    <w:rsid w:val="741E7DE4"/>
    <w:rsid w:val="742B660D"/>
    <w:rsid w:val="74314888"/>
    <w:rsid w:val="74372A51"/>
    <w:rsid w:val="743E2DF5"/>
    <w:rsid w:val="74546174"/>
    <w:rsid w:val="74575C64"/>
    <w:rsid w:val="746C2184"/>
    <w:rsid w:val="746E7748"/>
    <w:rsid w:val="746F627B"/>
    <w:rsid w:val="748C59EB"/>
    <w:rsid w:val="74955D2B"/>
    <w:rsid w:val="74B11D39"/>
    <w:rsid w:val="74B17A6A"/>
    <w:rsid w:val="74B23308"/>
    <w:rsid w:val="74B84955"/>
    <w:rsid w:val="74BC5500"/>
    <w:rsid w:val="74C5372F"/>
    <w:rsid w:val="74C53987"/>
    <w:rsid w:val="74CC0400"/>
    <w:rsid w:val="74D15A07"/>
    <w:rsid w:val="74D177C5"/>
    <w:rsid w:val="74DB6895"/>
    <w:rsid w:val="74E31B6A"/>
    <w:rsid w:val="74E52EC0"/>
    <w:rsid w:val="74E824E3"/>
    <w:rsid w:val="74E97204"/>
    <w:rsid w:val="74F00593"/>
    <w:rsid w:val="74F02341"/>
    <w:rsid w:val="74F82AAC"/>
    <w:rsid w:val="74FE6491"/>
    <w:rsid w:val="75015610"/>
    <w:rsid w:val="750230CA"/>
    <w:rsid w:val="750E0A19"/>
    <w:rsid w:val="7510653F"/>
    <w:rsid w:val="751C1388"/>
    <w:rsid w:val="751C3441"/>
    <w:rsid w:val="75237F44"/>
    <w:rsid w:val="75257BC8"/>
    <w:rsid w:val="75332839"/>
    <w:rsid w:val="75364157"/>
    <w:rsid w:val="7537448C"/>
    <w:rsid w:val="75497CA3"/>
    <w:rsid w:val="755075F7"/>
    <w:rsid w:val="755E55E3"/>
    <w:rsid w:val="756B19C7"/>
    <w:rsid w:val="756E770A"/>
    <w:rsid w:val="75736ACE"/>
    <w:rsid w:val="758058F9"/>
    <w:rsid w:val="758753A2"/>
    <w:rsid w:val="759929D8"/>
    <w:rsid w:val="759D6343"/>
    <w:rsid w:val="75B67253"/>
    <w:rsid w:val="75B72E5F"/>
    <w:rsid w:val="75B9544D"/>
    <w:rsid w:val="75BF2999"/>
    <w:rsid w:val="75C612F4"/>
    <w:rsid w:val="75CD61DE"/>
    <w:rsid w:val="75D67789"/>
    <w:rsid w:val="75D92DD5"/>
    <w:rsid w:val="75DC3081"/>
    <w:rsid w:val="75DE6B46"/>
    <w:rsid w:val="75E35CE1"/>
    <w:rsid w:val="75EA6226"/>
    <w:rsid w:val="75EB2B08"/>
    <w:rsid w:val="75F325B4"/>
    <w:rsid w:val="75F75951"/>
    <w:rsid w:val="75FA0BB9"/>
    <w:rsid w:val="75FE6CDF"/>
    <w:rsid w:val="760A5684"/>
    <w:rsid w:val="7617148E"/>
    <w:rsid w:val="76197675"/>
    <w:rsid w:val="7621477C"/>
    <w:rsid w:val="7626185C"/>
    <w:rsid w:val="7627090F"/>
    <w:rsid w:val="76285B0A"/>
    <w:rsid w:val="762F0C47"/>
    <w:rsid w:val="76317EC3"/>
    <w:rsid w:val="763533D3"/>
    <w:rsid w:val="763E4325"/>
    <w:rsid w:val="76440742"/>
    <w:rsid w:val="764A782F"/>
    <w:rsid w:val="765927F0"/>
    <w:rsid w:val="766D47F6"/>
    <w:rsid w:val="766F7295"/>
    <w:rsid w:val="767A3DBC"/>
    <w:rsid w:val="76850B3F"/>
    <w:rsid w:val="769B62DC"/>
    <w:rsid w:val="76BA4FA5"/>
    <w:rsid w:val="76BE3828"/>
    <w:rsid w:val="76C07AF1"/>
    <w:rsid w:val="76C45833"/>
    <w:rsid w:val="76CB7BD7"/>
    <w:rsid w:val="76CC773F"/>
    <w:rsid w:val="76D65566"/>
    <w:rsid w:val="76DD53F6"/>
    <w:rsid w:val="76DD7298"/>
    <w:rsid w:val="76E23F0B"/>
    <w:rsid w:val="76E60694"/>
    <w:rsid w:val="76E934EC"/>
    <w:rsid w:val="76EB6E7B"/>
    <w:rsid w:val="76F45F70"/>
    <w:rsid w:val="76F55295"/>
    <w:rsid w:val="76F61765"/>
    <w:rsid w:val="76FD6F97"/>
    <w:rsid w:val="77016F71"/>
    <w:rsid w:val="7702635B"/>
    <w:rsid w:val="77034A33"/>
    <w:rsid w:val="771A18F7"/>
    <w:rsid w:val="771B187E"/>
    <w:rsid w:val="772A439D"/>
    <w:rsid w:val="772B58B2"/>
    <w:rsid w:val="772E48AD"/>
    <w:rsid w:val="773222F8"/>
    <w:rsid w:val="773B2B98"/>
    <w:rsid w:val="77440722"/>
    <w:rsid w:val="774C24A5"/>
    <w:rsid w:val="77533C25"/>
    <w:rsid w:val="77534E09"/>
    <w:rsid w:val="7755292F"/>
    <w:rsid w:val="775D654F"/>
    <w:rsid w:val="776473A6"/>
    <w:rsid w:val="77686BC4"/>
    <w:rsid w:val="776B5CAF"/>
    <w:rsid w:val="776E1C43"/>
    <w:rsid w:val="77702AF8"/>
    <w:rsid w:val="77721D2F"/>
    <w:rsid w:val="77814EED"/>
    <w:rsid w:val="778D5286"/>
    <w:rsid w:val="779870AA"/>
    <w:rsid w:val="779925CA"/>
    <w:rsid w:val="77A662D4"/>
    <w:rsid w:val="77AA4A6D"/>
    <w:rsid w:val="77AD276B"/>
    <w:rsid w:val="77AE3DED"/>
    <w:rsid w:val="77B54802"/>
    <w:rsid w:val="77BC6FF2"/>
    <w:rsid w:val="77C0413A"/>
    <w:rsid w:val="77C37BA3"/>
    <w:rsid w:val="77C662ED"/>
    <w:rsid w:val="77CA3E4C"/>
    <w:rsid w:val="77D575CC"/>
    <w:rsid w:val="77E048EF"/>
    <w:rsid w:val="77EF3E08"/>
    <w:rsid w:val="77F15136"/>
    <w:rsid w:val="780650DE"/>
    <w:rsid w:val="780C7F82"/>
    <w:rsid w:val="78160310"/>
    <w:rsid w:val="782642CC"/>
    <w:rsid w:val="782B6951"/>
    <w:rsid w:val="783464DA"/>
    <w:rsid w:val="78384431"/>
    <w:rsid w:val="783B1B25"/>
    <w:rsid w:val="78474A20"/>
    <w:rsid w:val="78596F40"/>
    <w:rsid w:val="786C2842"/>
    <w:rsid w:val="786F17CF"/>
    <w:rsid w:val="78746F50"/>
    <w:rsid w:val="787B0173"/>
    <w:rsid w:val="78836B82"/>
    <w:rsid w:val="78852DA0"/>
    <w:rsid w:val="78911745"/>
    <w:rsid w:val="78942712"/>
    <w:rsid w:val="78961451"/>
    <w:rsid w:val="789631FF"/>
    <w:rsid w:val="78A13CF9"/>
    <w:rsid w:val="78AE679B"/>
    <w:rsid w:val="78B15398"/>
    <w:rsid w:val="78BE1519"/>
    <w:rsid w:val="78CA2730"/>
    <w:rsid w:val="78DB6E64"/>
    <w:rsid w:val="78DF0CE5"/>
    <w:rsid w:val="78E34904"/>
    <w:rsid w:val="78EE6559"/>
    <w:rsid w:val="78F4205A"/>
    <w:rsid w:val="78F83E84"/>
    <w:rsid w:val="78FE2B52"/>
    <w:rsid w:val="79004AD7"/>
    <w:rsid w:val="79022643"/>
    <w:rsid w:val="790C7D66"/>
    <w:rsid w:val="790E2F6A"/>
    <w:rsid w:val="79110AD8"/>
    <w:rsid w:val="79163682"/>
    <w:rsid w:val="79206F6D"/>
    <w:rsid w:val="79226A76"/>
    <w:rsid w:val="7928153D"/>
    <w:rsid w:val="792C5912"/>
    <w:rsid w:val="793752E4"/>
    <w:rsid w:val="79382508"/>
    <w:rsid w:val="793B3DA7"/>
    <w:rsid w:val="7940316B"/>
    <w:rsid w:val="794B10D1"/>
    <w:rsid w:val="795132CE"/>
    <w:rsid w:val="795804B5"/>
    <w:rsid w:val="795B114D"/>
    <w:rsid w:val="795D3C7A"/>
    <w:rsid w:val="796450AB"/>
    <w:rsid w:val="797636FC"/>
    <w:rsid w:val="79766B8D"/>
    <w:rsid w:val="79854EEC"/>
    <w:rsid w:val="79856D0B"/>
    <w:rsid w:val="798864C6"/>
    <w:rsid w:val="798B088A"/>
    <w:rsid w:val="798F5789"/>
    <w:rsid w:val="799D05BD"/>
    <w:rsid w:val="799F0936"/>
    <w:rsid w:val="79A26CD1"/>
    <w:rsid w:val="79AC0E09"/>
    <w:rsid w:val="79AC25AE"/>
    <w:rsid w:val="79AF7ABE"/>
    <w:rsid w:val="79B17BC5"/>
    <w:rsid w:val="79B7167F"/>
    <w:rsid w:val="79BB66AF"/>
    <w:rsid w:val="79C00005"/>
    <w:rsid w:val="79D428FC"/>
    <w:rsid w:val="79D62F36"/>
    <w:rsid w:val="79E5308B"/>
    <w:rsid w:val="79F27556"/>
    <w:rsid w:val="79FC3536"/>
    <w:rsid w:val="7A0D3922"/>
    <w:rsid w:val="7A2E2787"/>
    <w:rsid w:val="7A307BBE"/>
    <w:rsid w:val="7A342CD0"/>
    <w:rsid w:val="7A5713C9"/>
    <w:rsid w:val="7A635363"/>
    <w:rsid w:val="7A6406E7"/>
    <w:rsid w:val="7A7D55E2"/>
    <w:rsid w:val="7AA171A3"/>
    <w:rsid w:val="7AA86067"/>
    <w:rsid w:val="7ABB6F4D"/>
    <w:rsid w:val="7AD718AD"/>
    <w:rsid w:val="7ADD668E"/>
    <w:rsid w:val="7AE11E27"/>
    <w:rsid w:val="7AEA6661"/>
    <w:rsid w:val="7AEF5911"/>
    <w:rsid w:val="7AF54138"/>
    <w:rsid w:val="7AF806F5"/>
    <w:rsid w:val="7AF95CC7"/>
    <w:rsid w:val="7AFA1CA1"/>
    <w:rsid w:val="7B0D2733"/>
    <w:rsid w:val="7B120D87"/>
    <w:rsid w:val="7B1F32D4"/>
    <w:rsid w:val="7B2368A0"/>
    <w:rsid w:val="7B256ABC"/>
    <w:rsid w:val="7B3248D7"/>
    <w:rsid w:val="7B37771A"/>
    <w:rsid w:val="7B3F3257"/>
    <w:rsid w:val="7B436C4E"/>
    <w:rsid w:val="7B4C229B"/>
    <w:rsid w:val="7B4E7368"/>
    <w:rsid w:val="7B564EC8"/>
    <w:rsid w:val="7B565125"/>
    <w:rsid w:val="7B607AF4"/>
    <w:rsid w:val="7B712873"/>
    <w:rsid w:val="7B7610C6"/>
    <w:rsid w:val="7B7F481D"/>
    <w:rsid w:val="7B803CF3"/>
    <w:rsid w:val="7B805711"/>
    <w:rsid w:val="7B822C41"/>
    <w:rsid w:val="7BA94FF8"/>
    <w:rsid w:val="7BB229FF"/>
    <w:rsid w:val="7BBB4787"/>
    <w:rsid w:val="7BBD1B75"/>
    <w:rsid w:val="7BC9569A"/>
    <w:rsid w:val="7BCA2081"/>
    <w:rsid w:val="7BCC4C15"/>
    <w:rsid w:val="7BD2678D"/>
    <w:rsid w:val="7BD75868"/>
    <w:rsid w:val="7BDD1061"/>
    <w:rsid w:val="7BDF6C6B"/>
    <w:rsid w:val="7BE67239"/>
    <w:rsid w:val="7BE76939"/>
    <w:rsid w:val="7BEC1388"/>
    <w:rsid w:val="7BF769B0"/>
    <w:rsid w:val="7BF85F7F"/>
    <w:rsid w:val="7C013085"/>
    <w:rsid w:val="7C110943"/>
    <w:rsid w:val="7C18217D"/>
    <w:rsid w:val="7C1B0F6D"/>
    <w:rsid w:val="7C33140C"/>
    <w:rsid w:val="7C3420C6"/>
    <w:rsid w:val="7C3C2310"/>
    <w:rsid w:val="7C3C65F6"/>
    <w:rsid w:val="7C3E19AB"/>
    <w:rsid w:val="7C3E7E36"/>
    <w:rsid w:val="7C4116D4"/>
    <w:rsid w:val="7C507B69"/>
    <w:rsid w:val="7C617364"/>
    <w:rsid w:val="7C626AB6"/>
    <w:rsid w:val="7C647170"/>
    <w:rsid w:val="7C67035B"/>
    <w:rsid w:val="7C6D24C9"/>
    <w:rsid w:val="7C6F7FEF"/>
    <w:rsid w:val="7C762DCD"/>
    <w:rsid w:val="7C7750F6"/>
    <w:rsid w:val="7C7C095E"/>
    <w:rsid w:val="7C7D45FA"/>
    <w:rsid w:val="7C8155D3"/>
    <w:rsid w:val="7C816165"/>
    <w:rsid w:val="7C8B294F"/>
    <w:rsid w:val="7C8E79F3"/>
    <w:rsid w:val="7C907955"/>
    <w:rsid w:val="7C937852"/>
    <w:rsid w:val="7C98391B"/>
    <w:rsid w:val="7C9B5288"/>
    <w:rsid w:val="7C9E6603"/>
    <w:rsid w:val="7CA96DEC"/>
    <w:rsid w:val="7CAB2FF1"/>
    <w:rsid w:val="7CBA20D7"/>
    <w:rsid w:val="7CC12815"/>
    <w:rsid w:val="7CC12B6D"/>
    <w:rsid w:val="7CC65392"/>
    <w:rsid w:val="7CC919C2"/>
    <w:rsid w:val="7CCD6B87"/>
    <w:rsid w:val="7CDC4572"/>
    <w:rsid w:val="7CEB15CC"/>
    <w:rsid w:val="7CF34518"/>
    <w:rsid w:val="7CF60710"/>
    <w:rsid w:val="7CF76237"/>
    <w:rsid w:val="7D1A5417"/>
    <w:rsid w:val="7D1C234E"/>
    <w:rsid w:val="7D1D0DB5"/>
    <w:rsid w:val="7D1D3EEF"/>
    <w:rsid w:val="7D227D29"/>
    <w:rsid w:val="7D2D1C58"/>
    <w:rsid w:val="7D314296"/>
    <w:rsid w:val="7D343724"/>
    <w:rsid w:val="7D3D03DD"/>
    <w:rsid w:val="7D3F20B7"/>
    <w:rsid w:val="7D4221CC"/>
    <w:rsid w:val="7D4F7E21"/>
    <w:rsid w:val="7D532438"/>
    <w:rsid w:val="7D5646CD"/>
    <w:rsid w:val="7D5907C0"/>
    <w:rsid w:val="7D5D62D6"/>
    <w:rsid w:val="7D621902"/>
    <w:rsid w:val="7D6C741B"/>
    <w:rsid w:val="7D6E35B4"/>
    <w:rsid w:val="7D8905D8"/>
    <w:rsid w:val="7D8C697F"/>
    <w:rsid w:val="7D8E6B9B"/>
    <w:rsid w:val="7D910439"/>
    <w:rsid w:val="7DA20784"/>
    <w:rsid w:val="7DA71A0B"/>
    <w:rsid w:val="7DB46688"/>
    <w:rsid w:val="7DB545D0"/>
    <w:rsid w:val="7DBA06A1"/>
    <w:rsid w:val="7DBB2A58"/>
    <w:rsid w:val="7DBD4D8A"/>
    <w:rsid w:val="7DE467BB"/>
    <w:rsid w:val="7DEE128A"/>
    <w:rsid w:val="7DF87003"/>
    <w:rsid w:val="7DFA75AC"/>
    <w:rsid w:val="7E041257"/>
    <w:rsid w:val="7E084590"/>
    <w:rsid w:val="7E0E11ED"/>
    <w:rsid w:val="7E1026AA"/>
    <w:rsid w:val="7E1150D6"/>
    <w:rsid w:val="7E1D60EB"/>
    <w:rsid w:val="7E242620"/>
    <w:rsid w:val="7E33504C"/>
    <w:rsid w:val="7E355623"/>
    <w:rsid w:val="7E4159BB"/>
    <w:rsid w:val="7E4338E8"/>
    <w:rsid w:val="7E4E0C36"/>
    <w:rsid w:val="7E521976"/>
    <w:rsid w:val="7E5D4F5A"/>
    <w:rsid w:val="7E68083E"/>
    <w:rsid w:val="7E7676CE"/>
    <w:rsid w:val="7E840C42"/>
    <w:rsid w:val="7E8E60F6"/>
    <w:rsid w:val="7EA146AC"/>
    <w:rsid w:val="7EA30424"/>
    <w:rsid w:val="7EA600AD"/>
    <w:rsid w:val="7EB40C0B"/>
    <w:rsid w:val="7EB6761A"/>
    <w:rsid w:val="7EB919F5"/>
    <w:rsid w:val="7EBC0C52"/>
    <w:rsid w:val="7EBC7738"/>
    <w:rsid w:val="7EC46F34"/>
    <w:rsid w:val="7EC55299"/>
    <w:rsid w:val="7ECB21FA"/>
    <w:rsid w:val="7ECB34D7"/>
    <w:rsid w:val="7ED506E6"/>
    <w:rsid w:val="7EF02B53"/>
    <w:rsid w:val="7F0C421B"/>
    <w:rsid w:val="7F0F780D"/>
    <w:rsid w:val="7F121930"/>
    <w:rsid w:val="7F17496E"/>
    <w:rsid w:val="7F1B620C"/>
    <w:rsid w:val="7F1E4A72"/>
    <w:rsid w:val="7F2231B1"/>
    <w:rsid w:val="7F2B5F59"/>
    <w:rsid w:val="7F371249"/>
    <w:rsid w:val="7F441021"/>
    <w:rsid w:val="7F4F2EF3"/>
    <w:rsid w:val="7F5160D2"/>
    <w:rsid w:val="7F547198"/>
    <w:rsid w:val="7F5D6825"/>
    <w:rsid w:val="7F651B7D"/>
    <w:rsid w:val="7F691A30"/>
    <w:rsid w:val="7F7B7539"/>
    <w:rsid w:val="7F814F8B"/>
    <w:rsid w:val="7F827357"/>
    <w:rsid w:val="7F8518D8"/>
    <w:rsid w:val="7F91159D"/>
    <w:rsid w:val="7F996929"/>
    <w:rsid w:val="7F9B404A"/>
    <w:rsid w:val="7F9D41CA"/>
    <w:rsid w:val="7FA51482"/>
    <w:rsid w:val="7FBD3767"/>
    <w:rsid w:val="7FC71EF0"/>
    <w:rsid w:val="7FC9210C"/>
    <w:rsid w:val="7FD748FB"/>
    <w:rsid w:val="7FDB3CE5"/>
    <w:rsid w:val="7FE61C15"/>
    <w:rsid w:val="7FE707E4"/>
    <w:rsid w:val="7FEC5DFB"/>
    <w:rsid w:val="7FF05260"/>
    <w:rsid w:val="7FF624FA"/>
    <w:rsid w:val="7FF627D5"/>
    <w:rsid w:val="7FFC3174"/>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nhideWhenUsed="0" w:uiPriority="1"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name="toc 1"/>
    <w:lsdException w:qFormat="1" w:uiPriority="39" w:semiHidden="0"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qFormat="1" w:uiPriority="99"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qFormat="1"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qFormat="1"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qFormat="1" w:uiPriority="99" w:name="Body Text First Indent"/>
    <w:lsdException w:qFormat="1"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qFormat="1" w:uiPriority="99" w:name="Body Text Indent 3"/>
    <w:lsdException w:qFormat="1"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qFormat="1"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qFormat="1" w:uiPriority="99"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49"/>
    <w:qFormat/>
    <w:uiPriority w:val="9"/>
    <w:pPr>
      <w:keepNext/>
      <w:keepLines/>
      <w:spacing w:line="360" w:lineRule="auto"/>
      <w:outlineLvl w:val="0"/>
    </w:pPr>
    <w:rPr>
      <w:rFonts w:eastAsia="黑体"/>
      <w:bCs/>
      <w:kern w:val="44"/>
      <w:sz w:val="32"/>
      <w:szCs w:val="44"/>
    </w:rPr>
  </w:style>
  <w:style w:type="paragraph" w:styleId="3">
    <w:name w:val="heading 2"/>
    <w:basedOn w:val="1"/>
    <w:next w:val="1"/>
    <w:link w:val="52"/>
    <w:semiHidden/>
    <w:unhideWhenUsed/>
    <w:qFormat/>
    <w:uiPriority w:val="9"/>
    <w:pPr>
      <w:keepNext/>
      <w:keepLines/>
      <w:spacing w:line="360" w:lineRule="auto"/>
      <w:outlineLvl w:val="1"/>
    </w:pPr>
    <w:rPr>
      <w:rFonts w:ascii="Times New Roman" w:hAnsi="Times New Roman" w:eastAsia="宋体" w:cstheme="majorBidi"/>
      <w:b/>
      <w:bCs/>
      <w:sz w:val="24"/>
      <w:szCs w:val="32"/>
    </w:rPr>
  </w:style>
  <w:style w:type="paragraph" w:styleId="4">
    <w:name w:val="heading 3"/>
    <w:basedOn w:val="1"/>
    <w:next w:val="1"/>
    <w:link w:val="55"/>
    <w:semiHidden/>
    <w:unhideWhenUsed/>
    <w:qFormat/>
    <w:uiPriority w:val="9"/>
    <w:pPr>
      <w:keepNext/>
      <w:keepLines/>
      <w:spacing w:before="260" w:after="260" w:line="416" w:lineRule="auto"/>
      <w:outlineLvl w:val="2"/>
    </w:pPr>
    <w:rPr>
      <w:b/>
      <w:bCs/>
      <w:sz w:val="32"/>
      <w:szCs w:val="32"/>
    </w:rPr>
  </w:style>
  <w:style w:type="paragraph" w:styleId="5">
    <w:name w:val="heading 6"/>
    <w:basedOn w:val="1"/>
    <w:next w:val="1"/>
    <w:qFormat/>
    <w:uiPriority w:val="1"/>
    <w:pPr>
      <w:ind w:left="743"/>
      <w:outlineLvl w:val="5"/>
    </w:pPr>
    <w:rPr>
      <w:rFonts w:ascii="宋体" w:hAnsi="宋体" w:eastAsia="宋体" w:cs="宋体"/>
      <w:b/>
      <w:bCs/>
      <w:sz w:val="24"/>
      <w:szCs w:val="24"/>
      <w:lang w:val="zh-CN" w:eastAsia="zh-CN" w:bidi="zh-CN"/>
    </w:rPr>
  </w:style>
  <w:style w:type="character" w:default="1" w:styleId="32">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6">
    <w:name w:val="Normal Indent"/>
    <w:basedOn w:val="1"/>
    <w:next w:val="1"/>
    <w:semiHidden/>
    <w:unhideWhenUsed/>
    <w:qFormat/>
    <w:uiPriority w:val="99"/>
    <w:pPr>
      <w:ind w:firstLine="420"/>
    </w:pPr>
    <w:rPr>
      <w:rFonts w:ascii="Times New Roman" w:hAnsi="Times New Roman" w:eastAsia="宋体" w:cs="Times New Roman"/>
      <w:szCs w:val="20"/>
    </w:rPr>
  </w:style>
  <w:style w:type="paragraph" w:styleId="7">
    <w:name w:val="caption"/>
    <w:basedOn w:val="1"/>
    <w:next w:val="1"/>
    <w:semiHidden/>
    <w:unhideWhenUsed/>
    <w:qFormat/>
    <w:uiPriority w:val="35"/>
    <w:rPr>
      <w:rFonts w:ascii="Arial" w:hAnsi="Arial" w:eastAsia="黑体" w:cs="Arial"/>
      <w:sz w:val="20"/>
      <w:szCs w:val="20"/>
    </w:rPr>
  </w:style>
  <w:style w:type="paragraph" w:styleId="8">
    <w:name w:val="annotation text"/>
    <w:basedOn w:val="1"/>
    <w:link w:val="95"/>
    <w:semiHidden/>
    <w:unhideWhenUsed/>
    <w:qFormat/>
    <w:uiPriority w:val="99"/>
    <w:pPr>
      <w:jc w:val="left"/>
    </w:pPr>
  </w:style>
  <w:style w:type="paragraph" w:styleId="9">
    <w:name w:val="Body Text"/>
    <w:basedOn w:val="1"/>
    <w:semiHidden/>
    <w:unhideWhenUsed/>
    <w:qFormat/>
    <w:uiPriority w:val="99"/>
    <w:rPr>
      <w:rFonts w:cs="Times New Roman"/>
      <w:sz w:val="32"/>
      <w:szCs w:val="20"/>
    </w:rPr>
  </w:style>
  <w:style w:type="paragraph" w:styleId="10">
    <w:name w:val="Body Text Indent"/>
    <w:basedOn w:val="1"/>
    <w:next w:val="11"/>
    <w:semiHidden/>
    <w:unhideWhenUsed/>
    <w:qFormat/>
    <w:uiPriority w:val="99"/>
    <w:pPr>
      <w:spacing w:line="300" w:lineRule="exact"/>
      <w:ind w:firstLine="538"/>
    </w:pPr>
    <w:rPr>
      <w:rFonts w:ascii="宋体" w:cs="Times New Roman"/>
      <w:szCs w:val="24"/>
    </w:rPr>
  </w:style>
  <w:style w:type="paragraph" w:styleId="11">
    <w:name w:val="Body Text Indent 2"/>
    <w:basedOn w:val="1"/>
    <w:next w:val="12"/>
    <w:qFormat/>
    <w:uiPriority w:val="0"/>
    <w:pPr>
      <w:ind w:firstLine="720" w:firstLineChars="200"/>
    </w:pPr>
    <w:rPr>
      <w:szCs w:val="20"/>
    </w:rPr>
  </w:style>
  <w:style w:type="paragraph" w:styleId="12">
    <w:name w:val="Body Text First Indent 2"/>
    <w:basedOn w:val="10"/>
    <w:next w:val="1"/>
    <w:semiHidden/>
    <w:unhideWhenUsed/>
    <w:qFormat/>
    <w:uiPriority w:val="99"/>
    <w:pPr>
      <w:spacing w:after="120" w:line="360" w:lineRule="auto"/>
      <w:ind w:left="420" w:leftChars="200" w:firstLine="420"/>
    </w:pPr>
    <w:rPr>
      <w:rFonts w:ascii="Times New Roman" w:cstheme="minorBidi"/>
      <w:szCs w:val="22"/>
    </w:rPr>
  </w:style>
  <w:style w:type="paragraph" w:styleId="13">
    <w:name w:val="Block Text"/>
    <w:basedOn w:val="1"/>
    <w:semiHidden/>
    <w:unhideWhenUsed/>
    <w:qFormat/>
    <w:uiPriority w:val="99"/>
    <w:pPr>
      <w:adjustRightInd w:val="0"/>
      <w:snapToGrid w:val="0"/>
      <w:spacing w:line="440" w:lineRule="exact"/>
      <w:ind w:left="402" w:right="108" w:firstLine="450"/>
    </w:pPr>
    <w:rPr>
      <w:rFonts w:ascii="宋体" w:hAnsi="宋体" w:cs="Times New Roman"/>
      <w:szCs w:val="20"/>
    </w:rPr>
  </w:style>
  <w:style w:type="paragraph" w:styleId="14">
    <w:name w:val="toc 3"/>
    <w:basedOn w:val="1"/>
    <w:next w:val="1"/>
    <w:semiHidden/>
    <w:unhideWhenUsed/>
    <w:qFormat/>
    <w:uiPriority w:val="39"/>
    <w:pPr>
      <w:ind w:left="840" w:leftChars="400"/>
    </w:pPr>
  </w:style>
  <w:style w:type="paragraph" w:styleId="15">
    <w:name w:val="Plain Text"/>
    <w:basedOn w:val="1"/>
    <w:link w:val="96"/>
    <w:semiHidden/>
    <w:unhideWhenUsed/>
    <w:qFormat/>
    <w:uiPriority w:val="99"/>
    <w:rPr>
      <w:rFonts w:ascii="宋体" w:hAnsi="Courier New" w:eastAsia="宋体" w:cs="Courier New"/>
      <w:szCs w:val="21"/>
    </w:rPr>
  </w:style>
  <w:style w:type="paragraph" w:styleId="16">
    <w:name w:val="List Bullet 5"/>
    <w:basedOn w:val="1"/>
    <w:semiHidden/>
    <w:unhideWhenUsed/>
    <w:qFormat/>
    <w:uiPriority w:val="99"/>
    <w:pPr>
      <w:numPr>
        <w:ilvl w:val="0"/>
        <w:numId w:val="1"/>
      </w:numPr>
    </w:pPr>
  </w:style>
  <w:style w:type="paragraph" w:styleId="17">
    <w:name w:val="Date"/>
    <w:basedOn w:val="1"/>
    <w:next w:val="1"/>
    <w:link w:val="48"/>
    <w:semiHidden/>
    <w:unhideWhenUsed/>
    <w:qFormat/>
    <w:uiPriority w:val="99"/>
    <w:pPr>
      <w:ind w:left="100" w:leftChars="2500"/>
    </w:pPr>
  </w:style>
  <w:style w:type="paragraph" w:styleId="18">
    <w:name w:val="Balloon Text"/>
    <w:basedOn w:val="1"/>
    <w:link w:val="97"/>
    <w:semiHidden/>
    <w:unhideWhenUsed/>
    <w:qFormat/>
    <w:uiPriority w:val="99"/>
    <w:rPr>
      <w:sz w:val="18"/>
      <w:szCs w:val="18"/>
    </w:rPr>
  </w:style>
  <w:style w:type="paragraph" w:styleId="19">
    <w:name w:val="footer"/>
    <w:basedOn w:val="1"/>
    <w:link w:val="98"/>
    <w:unhideWhenUsed/>
    <w:qFormat/>
    <w:uiPriority w:val="99"/>
    <w:pPr>
      <w:tabs>
        <w:tab w:val="center" w:pos="4153"/>
        <w:tab w:val="right" w:pos="8306"/>
      </w:tabs>
      <w:snapToGrid w:val="0"/>
      <w:jc w:val="left"/>
    </w:pPr>
    <w:rPr>
      <w:sz w:val="18"/>
      <w:szCs w:val="18"/>
    </w:rPr>
  </w:style>
  <w:style w:type="paragraph" w:styleId="20">
    <w:name w:val="header"/>
    <w:basedOn w:val="1"/>
    <w:link w:val="99"/>
    <w:unhideWhenUsed/>
    <w:qFormat/>
    <w:uiPriority w:val="99"/>
    <w:pPr>
      <w:pBdr>
        <w:bottom w:val="single" w:color="auto" w:sz="6" w:space="1"/>
      </w:pBdr>
      <w:tabs>
        <w:tab w:val="center" w:pos="4153"/>
        <w:tab w:val="right" w:pos="8306"/>
      </w:tabs>
      <w:snapToGrid w:val="0"/>
      <w:jc w:val="center"/>
    </w:pPr>
    <w:rPr>
      <w:sz w:val="18"/>
      <w:szCs w:val="18"/>
    </w:rPr>
  </w:style>
  <w:style w:type="paragraph" w:styleId="21">
    <w:name w:val="toc 1"/>
    <w:basedOn w:val="1"/>
    <w:next w:val="1"/>
    <w:semiHidden/>
    <w:unhideWhenUsed/>
    <w:qFormat/>
    <w:uiPriority w:val="39"/>
    <w:pPr>
      <w:tabs>
        <w:tab w:val="right" w:leader="dot" w:pos="8296"/>
      </w:tabs>
    </w:pPr>
    <w:rPr>
      <w:rFonts w:ascii="Times New Roman" w:hAnsi="Times New Roman" w:cs="Times New Roman"/>
      <w:b/>
    </w:rPr>
  </w:style>
  <w:style w:type="paragraph" w:styleId="22">
    <w:name w:val="List"/>
    <w:basedOn w:val="1"/>
    <w:unhideWhenUsed/>
    <w:qFormat/>
    <w:uiPriority w:val="99"/>
    <w:pPr>
      <w:ind w:left="200" w:hanging="200" w:hangingChars="200"/>
      <w:contextualSpacing/>
    </w:pPr>
    <w:rPr>
      <w:rFonts w:eastAsia="宋体" w:asciiTheme="minorAscii" w:hAnsiTheme="minorAscii"/>
      <w:szCs w:val="21"/>
    </w:rPr>
  </w:style>
  <w:style w:type="paragraph" w:styleId="23">
    <w:name w:val="Body Text Indent 3"/>
    <w:basedOn w:val="1"/>
    <w:semiHidden/>
    <w:unhideWhenUsed/>
    <w:qFormat/>
    <w:uiPriority w:val="99"/>
    <w:pPr>
      <w:spacing w:after="120"/>
      <w:ind w:left="420" w:leftChars="200"/>
    </w:pPr>
    <w:rPr>
      <w:rFonts w:ascii="Times New Roman" w:hAnsi="Times New Roman" w:eastAsia="宋体" w:cs="Times New Roman"/>
      <w:sz w:val="16"/>
      <w:szCs w:val="16"/>
    </w:rPr>
  </w:style>
  <w:style w:type="paragraph" w:styleId="24">
    <w:name w:val="toc 2"/>
    <w:basedOn w:val="1"/>
    <w:next w:val="1"/>
    <w:unhideWhenUsed/>
    <w:qFormat/>
    <w:uiPriority w:val="39"/>
    <w:pPr>
      <w:ind w:left="420" w:leftChars="200"/>
    </w:pPr>
  </w:style>
  <w:style w:type="paragraph" w:styleId="25">
    <w:name w:val="Normal (Web)"/>
    <w:basedOn w:val="1"/>
    <w:unhideWhenUsed/>
    <w:qFormat/>
    <w:uiPriority w:val="99"/>
    <w:pPr>
      <w:widowControl/>
      <w:spacing w:before="100" w:beforeAutospacing="1" w:after="100" w:afterAutospacing="1"/>
      <w:jc w:val="left"/>
    </w:pPr>
    <w:rPr>
      <w:rFonts w:ascii="宋体" w:hAnsi="宋体" w:eastAsia="宋体" w:cs="宋体"/>
      <w:kern w:val="0"/>
      <w:sz w:val="24"/>
      <w:szCs w:val="24"/>
    </w:rPr>
  </w:style>
  <w:style w:type="paragraph" w:styleId="26">
    <w:name w:val="Title"/>
    <w:basedOn w:val="1"/>
    <w:next w:val="1"/>
    <w:link w:val="100"/>
    <w:qFormat/>
    <w:uiPriority w:val="10"/>
    <w:pPr>
      <w:spacing w:before="240" w:after="60"/>
      <w:jc w:val="center"/>
      <w:outlineLvl w:val="0"/>
    </w:pPr>
    <w:rPr>
      <w:rFonts w:ascii="Calibri Light" w:hAnsi="Calibri Light" w:eastAsia="宋体" w:cs="Times New Roman"/>
      <w:b/>
      <w:bCs/>
      <w:sz w:val="32"/>
      <w:szCs w:val="32"/>
    </w:rPr>
  </w:style>
  <w:style w:type="paragraph" w:styleId="27">
    <w:name w:val="annotation subject"/>
    <w:basedOn w:val="8"/>
    <w:next w:val="8"/>
    <w:link w:val="101"/>
    <w:semiHidden/>
    <w:unhideWhenUsed/>
    <w:qFormat/>
    <w:uiPriority w:val="99"/>
    <w:rPr>
      <w:b/>
      <w:bCs/>
    </w:rPr>
  </w:style>
  <w:style w:type="paragraph" w:styleId="28">
    <w:name w:val="Body Text First Indent"/>
    <w:basedOn w:val="9"/>
    <w:next w:val="1"/>
    <w:semiHidden/>
    <w:unhideWhenUsed/>
    <w:qFormat/>
    <w:uiPriority w:val="99"/>
    <w:pPr>
      <w:spacing w:after="120"/>
      <w:ind w:firstLine="420" w:firstLineChars="100"/>
    </w:pPr>
  </w:style>
  <w:style w:type="table" w:styleId="30">
    <w:name w:val="Table Grid"/>
    <w:basedOn w:val="29"/>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31">
    <w:name w:val="Table Elegant"/>
    <w:basedOn w:val="29"/>
    <w:semiHidden/>
    <w:unhideWhenUsed/>
    <w:qFormat/>
    <w:uiPriority w:val="99"/>
    <w:pPr>
      <w:widowControl w:val="0"/>
      <w:jc w:val="both"/>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op w:val="nil"/>
          <w:left w:val="nil"/>
          <w:bottom w:val="nil"/>
          <w:right w:val="nil"/>
          <w:insideH w:val="nil"/>
          <w:insideV w:val="nil"/>
          <w:tl2br w:val="nil"/>
          <w:tr2bl w:val="nil"/>
        </w:tcBorders>
      </w:tcPr>
    </w:tblStylePr>
  </w:style>
  <w:style w:type="character" w:styleId="33">
    <w:name w:val="Strong"/>
    <w:basedOn w:val="32"/>
    <w:qFormat/>
    <w:uiPriority w:val="22"/>
    <w:rPr>
      <w:b/>
      <w:bCs/>
    </w:rPr>
  </w:style>
  <w:style w:type="character" w:styleId="34">
    <w:name w:val="page number"/>
    <w:basedOn w:val="32"/>
    <w:semiHidden/>
    <w:unhideWhenUsed/>
    <w:qFormat/>
    <w:uiPriority w:val="99"/>
  </w:style>
  <w:style w:type="character" w:styleId="35">
    <w:name w:val="Hyperlink"/>
    <w:basedOn w:val="32"/>
    <w:semiHidden/>
    <w:unhideWhenUsed/>
    <w:qFormat/>
    <w:uiPriority w:val="99"/>
    <w:rPr>
      <w:color w:val="5F5F5F" w:themeColor="hyperlink"/>
      <w:u w:val="single"/>
      <w14:textFill>
        <w14:solidFill>
          <w14:schemeClr w14:val="hlink"/>
        </w14:solidFill>
      </w14:textFill>
    </w:rPr>
  </w:style>
  <w:style w:type="character" w:styleId="36">
    <w:name w:val="annotation reference"/>
    <w:basedOn w:val="32"/>
    <w:semiHidden/>
    <w:unhideWhenUsed/>
    <w:qFormat/>
    <w:uiPriority w:val="99"/>
    <w:rPr>
      <w:sz w:val="21"/>
      <w:szCs w:val="21"/>
    </w:rPr>
  </w:style>
  <w:style w:type="paragraph" w:customStyle="1" w:styleId="37">
    <w:name w:val="表格"/>
    <w:basedOn w:val="1"/>
    <w:link w:val="38"/>
    <w:qFormat/>
    <w:uiPriority w:val="0"/>
    <w:pPr>
      <w:autoSpaceDE w:val="0"/>
      <w:autoSpaceDN w:val="0"/>
      <w:adjustRightInd w:val="0"/>
      <w:snapToGrid w:val="0"/>
      <w:jc w:val="center"/>
    </w:pPr>
    <w:rPr>
      <w:rFonts w:ascii="Times New Roman" w:hAnsi="Times New Roman" w:eastAsia="华文仿宋" w:cs="Times New Roman"/>
      <w:bCs/>
      <w:kern w:val="0"/>
      <w:sz w:val="24"/>
      <w:szCs w:val="24"/>
    </w:rPr>
  </w:style>
  <w:style w:type="character" w:customStyle="1" w:styleId="38">
    <w:name w:val="表格 Char"/>
    <w:link w:val="37"/>
    <w:qFormat/>
    <w:uiPriority w:val="0"/>
    <w:rPr>
      <w:rFonts w:eastAsia="华文仿宋"/>
      <w:bCs/>
      <w:sz w:val="24"/>
      <w:szCs w:val="24"/>
    </w:rPr>
  </w:style>
  <w:style w:type="character" w:customStyle="1" w:styleId="39">
    <w:name w:val="font61"/>
    <w:basedOn w:val="32"/>
    <w:qFormat/>
    <w:uiPriority w:val="0"/>
    <w:rPr>
      <w:rFonts w:hint="eastAsia" w:ascii="宋体" w:hAnsi="宋体" w:eastAsia="宋体" w:cs="宋体"/>
      <w:color w:val="000000"/>
      <w:sz w:val="21"/>
      <w:szCs w:val="21"/>
      <w:u w:val="none"/>
    </w:rPr>
  </w:style>
  <w:style w:type="paragraph" w:customStyle="1" w:styleId="40">
    <w:name w:val="Table Text"/>
    <w:basedOn w:val="1"/>
    <w:semiHidden/>
    <w:qFormat/>
    <w:uiPriority w:val="0"/>
    <w:pPr>
      <w:spacing w:line="240" w:lineRule="auto"/>
      <w:ind w:firstLine="0" w:firstLineChars="0"/>
      <w:jc w:val="center"/>
    </w:pPr>
    <w:rPr>
      <w:rFonts w:ascii="Times New Roman" w:hAnsi="Times New Roman" w:eastAsia="宋体" w:cs="宋体"/>
      <w:snapToGrid w:val="0"/>
      <w:color w:val="000000"/>
      <w:lang w:eastAsia="en-US"/>
    </w:rPr>
  </w:style>
  <w:style w:type="paragraph" w:customStyle="1" w:styleId="41">
    <w:name w:val="表格内容"/>
    <w:basedOn w:val="1"/>
    <w:qFormat/>
    <w:uiPriority w:val="0"/>
    <w:pPr>
      <w:snapToGrid w:val="0"/>
      <w:spacing w:line="240" w:lineRule="auto"/>
      <w:jc w:val="center"/>
    </w:pPr>
    <w:rPr>
      <w:rFonts w:ascii="Times New Roman" w:hAnsi="Times New Roman" w:eastAsia="宋体" w:cs="Times New Roman"/>
      <w:sz w:val="21"/>
      <w:szCs w:val="21"/>
    </w:rPr>
  </w:style>
  <w:style w:type="paragraph" w:customStyle="1" w:styleId="42">
    <w:name w:val="Default"/>
    <w:basedOn w:val="43"/>
    <w:next w:val="44"/>
    <w:qFormat/>
    <w:uiPriority w:val="0"/>
    <w:pPr>
      <w:widowControl w:val="0"/>
      <w:autoSpaceDE w:val="0"/>
      <w:autoSpaceDN w:val="0"/>
      <w:adjustRightInd w:val="0"/>
    </w:pPr>
    <w:rPr>
      <w:rFonts w:ascii="宋体" w:eastAsia="宋体" w:cs="宋体" w:hAnsiTheme="minorHAnsi"/>
      <w:color w:val="000000"/>
      <w:sz w:val="24"/>
      <w:szCs w:val="24"/>
      <w:lang w:val="en-US" w:eastAsia="zh-CN" w:bidi="ar-SA"/>
    </w:rPr>
  </w:style>
  <w:style w:type="paragraph" w:customStyle="1" w:styleId="43">
    <w:name w:val="标题2"/>
    <w:basedOn w:val="3"/>
    <w:qFormat/>
    <w:uiPriority w:val="0"/>
    <w:pPr>
      <w:keepLines w:val="0"/>
      <w:adjustRightInd w:val="0"/>
      <w:snapToGrid w:val="0"/>
      <w:spacing w:before="0" w:after="0" w:line="360" w:lineRule="auto"/>
    </w:pPr>
    <w:rPr>
      <w:rFonts w:ascii="黑体" w:hAnsi="Times New Roman"/>
      <w:snapToGrid w:val="0"/>
      <w:kern w:val="0"/>
      <w:sz w:val="24"/>
      <w:szCs w:val="20"/>
    </w:rPr>
  </w:style>
  <w:style w:type="paragraph" w:customStyle="1" w:styleId="44">
    <w:name w:val="样式35"/>
    <w:basedOn w:val="1"/>
    <w:next w:val="1"/>
    <w:qFormat/>
    <w:uiPriority w:val="0"/>
    <w:pPr>
      <w:spacing w:line="312" w:lineRule="auto"/>
      <w:ind w:firstLine="567"/>
    </w:pPr>
    <w:rPr>
      <w:rFonts w:ascii="宋体"/>
      <w:sz w:val="28"/>
    </w:rPr>
  </w:style>
  <w:style w:type="character" w:customStyle="1" w:styleId="45">
    <w:name w:val="批注框文本 字符"/>
    <w:basedOn w:val="32"/>
    <w:link w:val="18"/>
    <w:semiHidden/>
    <w:qFormat/>
    <w:uiPriority w:val="99"/>
    <w:rPr>
      <w:sz w:val="18"/>
      <w:szCs w:val="18"/>
    </w:rPr>
  </w:style>
  <w:style w:type="character" w:customStyle="1" w:styleId="46">
    <w:name w:val="页眉 字符"/>
    <w:basedOn w:val="32"/>
    <w:link w:val="20"/>
    <w:qFormat/>
    <w:uiPriority w:val="99"/>
    <w:rPr>
      <w:sz w:val="18"/>
      <w:szCs w:val="18"/>
    </w:rPr>
  </w:style>
  <w:style w:type="character" w:customStyle="1" w:styleId="47">
    <w:name w:val="页脚 字符"/>
    <w:basedOn w:val="32"/>
    <w:link w:val="19"/>
    <w:qFormat/>
    <w:uiPriority w:val="99"/>
    <w:rPr>
      <w:sz w:val="18"/>
      <w:szCs w:val="18"/>
    </w:rPr>
  </w:style>
  <w:style w:type="character" w:customStyle="1" w:styleId="48">
    <w:name w:val="日期 字符"/>
    <w:basedOn w:val="32"/>
    <w:link w:val="17"/>
    <w:semiHidden/>
    <w:qFormat/>
    <w:uiPriority w:val="99"/>
  </w:style>
  <w:style w:type="character" w:customStyle="1" w:styleId="49">
    <w:name w:val="标题 1 字符"/>
    <w:basedOn w:val="32"/>
    <w:link w:val="2"/>
    <w:qFormat/>
    <w:uiPriority w:val="9"/>
    <w:rPr>
      <w:rFonts w:eastAsia="黑体"/>
      <w:bCs/>
      <w:kern w:val="44"/>
      <w:sz w:val="32"/>
      <w:szCs w:val="44"/>
    </w:rPr>
  </w:style>
  <w:style w:type="paragraph" w:customStyle="1" w:styleId="50">
    <w:name w:val="报告书表格"/>
    <w:basedOn w:val="1"/>
    <w:qFormat/>
    <w:uiPriority w:val="0"/>
    <w:pPr>
      <w:adjustRightInd w:val="0"/>
      <w:spacing w:before="60" w:after="60" w:line="240" w:lineRule="atLeast"/>
      <w:jc w:val="center"/>
      <w:textAlignment w:val="baseline"/>
    </w:pPr>
    <w:rPr>
      <w:rFonts w:ascii="Times New Roman" w:hAnsi="Times New Roman" w:eastAsia="宋体" w:cs="Times New Roman"/>
      <w:szCs w:val="24"/>
    </w:rPr>
  </w:style>
  <w:style w:type="paragraph" w:customStyle="1" w:styleId="51">
    <w:name w:val="中文报告书样式"/>
    <w:basedOn w:val="1"/>
    <w:qFormat/>
    <w:uiPriority w:val="0"/>
    <w:pPr>
      <w:adjustRightInd w:val="0"/>
      <w:spacing w:line="420" w:lineRule="atLeast"/>
      <w:jc w:val="left"/>
      <w:textAlignment w:val="baseline"/>
    </w:pPr>
    <w:rPr>
      <w:rFonts w:ascii="Times New Roman" w:hAnsi="Times New Roman" w:eastAsia="宋体" w:cs="Times New Roman"/>
      <w:kern w:val="24"/>
      <w:sz w:val="24"/>
      <w:szCs w:val="24"/>
    </w:rPr>
  </w:style>
  <w:style w:type="character" w:customStyle="1" w:styleId="52">
    <w:name w:val="标题 2 字符"/>
    <w:basedOn w:val="32"/>
    <w:link w:val="3"/>
    <w:qFormat/>
    <w:uiPriority w:val="9"/>
    <w:rPr>
      <w:rFonts w:ascii="Times New Roman" w:hAnsi="Times New Roman" w:eastAsia="宋体" w:cstheme="majorBidi"/>
      <w:b/>
      <w:bCs/>
      <w:sz w:val="24"/>
      <w:szCs w:val="32"/>
    </w:rPr>
  </w:style>
  <w:style w:type="paragraph" w:customStyle="1" w:styleId="53">
    <w:name w:val="正文文本1"/>
    <w:basedOn w:val="1"/>
    <w:qFormat/>
    <w:uiPriority w:val="0"/>
    <w:pPr>
      <w:spacing w:after="120" w:line="360" w:lineRule="auto"/>
      <w:jc w:val="left"/>
    </w:pPr>
    <w:rPr>
      <w:rFonts w:ascii="Times New Roman" w:hAnsi="Times New Roman" w:eastAsia="宋体" w:cs="Times New Roman"/>
      <w:sz w:val="24"/>
      <w:szCs w:val="24"/>
    </w:rPr>
  </w:style>
  <w:style w:type="paragraph" w:customStyle="1" w:styleId="54">
    <w:name w:val="TOC 标题1"/>
    <w:basedOn w:val="2"/>
    <w:next w:val="1"/>
    <w:unhideWhenUsed/>
    <w:qFormat/>
    <w:uiPriority w:val="39"/>
    <w:pPr>
      <w:widowControl/>
      <w:spacing w:before="480" w:line="276" w:lineRule="auto"/>
      <w:jc w:val="left"/>
      <w:outlineLvl w:val="9"/>
    </w:pPr>
    <w:rPr>
      <w:rFonts w:asciiTheme="majorHAnsi" w:hAnsiTheme="majorHAnsi" w:eastAsiaTheme="majorEastAsia" w:cstheme="majorBidi"/>
      <w:b/>
      <w:color w:val="A6A6A6" w:themeColor="accent1" w:themeShade="BF"/>
      <w:kern w:val="0"/>
      <w:sz w:val="28"/>
      <w:szCs w:val="28"/>
    </w:rPr>
  </w:style>
  <w:style w:type="character" w:customStyle="1" w:styleId="55">
    <w:name w:val="标题 3 字符"/>
    <w:basedOn w:val="32"/>
    <w:link w:val="4"/>
    <w:qFormat/>
    <w:uiPriority w:val="9"/>
    <w:rPr>
      <w:b/>
      <w:bCs/>
      <w:sz w:val="32"/>
      <w:szCs w:val="32"/>
    </w:rPr>
  </w:style>
  <w:style w:type="paragraph" w:styleId="56">
    <w:name w:val="List Paragraph"/>
    <w:basedOn w:val="1"/>
    <w:semiHidden/>
    <w:unhideWhenUsed/>
    <w:qFormat/>
    <w:uiPriority w:val="99"/>
    <w:pPr>
      <w:ind w:firstLine="420" w:firstLineChars="200"/>
    </w:pPr>
  </w:style>
  <w:style w:type="character" w:customStyle="1" w:styleId="57">
    <w:name w:val="页码1"/>
    <w:basedOn w:val="32"/>
    <w:qFormat/>
    <w:uiPriority w:val="0"/>
  </w:style>
  <w:style w:type="character" w:customStyle="1" w:styleId="58">
    <w:name w:val="批注文字 字符"/>
    <w:basedOn w:val="32"/>
    <w:link w:val="8"/>
    <w:qFormat/>
    <w:uiPriority w:val="99"/>
    <w:rPr>
      <w:kern w:val="2"/>
      <w:sz w:val="21"/>
      <w:szCs w:val="22"/>
    </w:rPr>
  </w:style>
  <w:style w:type="character" w:customStyle="1" w:styleId="59">
    <w:name w:val="批注主题 字符"/>
    <w:basedOn w:val="58"/>
    <w:link w:val="27"/>
    <w:semiHidden/>
    <w:qFormat/>
    <w:uiPriority w:val="99"/>
    <w:rPr>
      <w:b/>
      <w:bCs/>
      <w:kern w:val="2"/>
      <w:sz w:val="21"/>
      <w:szCs w:val="22"/>
    </w:rPr>
  </w:style>
  <w:style w:type="paragraph" w:customStyle="1" w:styleId="60">
    <w:name w:val="修订1"/>
    <w:hidden/>
    <w:unhideWhenUsed/>
    <w:qFormat/>
    <w:uiPriority w:val="99"/>
    <w:rPr>
      <w:rFonts w:asciiTheme="minorHAnsi" w:hAnsiTheme="minorHAnsi" w:eastAsiaTheme="minorEastAsia" w:cstheme="minorBidi"/>
      <w:kern w:val="2"/>
      <w:sz w:val="21"/>
      <w:szCs w:val="22"/>
      <w:lang w:val="en-US" w:eastAsia="zh-CN" w:bidi="ar-SA"/>
    </w:rPr>
  </w:style>
  <w:style w:type="character" w:customStyle="1" w:styleId="61">
    <w:name w:val="fontstyle01"/>
    <w:basedOn w:val="32"/>
    <w:qFormat/>
    <w:uiPriority w:val="0"/>
    <w:rPr>
      <w:rFonts w:hint="eastAsia" w:ascii="宋体" w:hAnsi="宋体" w:eastAsia="宋体"/>
      <w:color w:val="000000"/>
      <w:sz w:val="24"/>
      <w:szCs w:val="24"/>
    </w:rPr>
  </w:style>
  <w:style w:type="character" w:customStyle="1" w:styleId="62">
    <w:name w:val="fontstyle11"/>
    <w:basedOn w:val="32"/>
    <w:qFormat/>
    <w:uiPriority w:val="0"/>
    <w:rPr>
      <w:rFonts w:hint="default" w:ascii="TimesNewRomanPSMT" w:hAnsi="TimesNewRomanPSMT"/>
      <w:color w:val="000000"/>
      <w:sz w:val="24"/>
      <w:szCs w:val="24"/>
    </w:rPr>
  </w:style>
  <w:style w:type="character" w:customStyle="1" w:styleId="63">
    <w:name w:val="fontstyle21"/>
    <w:basedOn w:val="32"/>
    <w:qFormat/>
    <w:uiPriority w:val="0"/>
    <w:rPr>
      <w:rFonts w:hint="default" w:ascii="TimesNewRomanPSMT" w:hAnsi="TimesNewRomanPSMT"/>
      <w:color w:val="000000"/>
      <w:sz w:val="24"/>
      <w:szCs w:val="24"/>
    </w:rPr>
  </w:style>
  <w:style w:type="character" w:customStyle="1" w:styleId="64">
    <w:name w:val="纯文本 字符"/>
    <w:link w:val="15"/>
    <w:qFormat/>
    <w:uiPriority w:val="0"/>
    <w:rPr>
      <w:rFonts w:ascii="宋体" w:hAnsi="Courier New" w:cs="Courier New"/>
      <w:kern w:val="2"/>
      <w:sz w:val="21"/>
      <w:szCs w:val="21"/>
    </w:rPr>
  </w:style>
  <w:style w:type="character" w:customStyle="1" w:styleId="65">
    <w:name w:val="纯文本 字符1"/>
    <w:basedOn w:val="32"/>
    <w:semiHidden/>
    <w:qFormat/>
    <w:uiPriority w:val="99"/>
    <w:rPr>
      <w:rFonts w:hAnsi="Courier New" w:cs="Courier New" w:asciiTheme="minorEastAsia" w:eastAsiaTheme="minorEastAsia"/>
      <w:kern w:val="2"/>
      <w:sz w:val="21"/>
      <w:szCs w:val="22"/>
    </w:rPr>
  </w:style>
  <w:style w:type="character" w:customStyle="1" w:styleId="66">
    <w:name w:val="表格文字 Char Char Char"/>
    <w:link w:val="67"/>
    <w:qFormat/>
    <w:locked/>
    <w:uiPriority w:val="0"/>
    <w:rPr>
      <w:sz w:val="24"/>
    </w:rPr>
  </w:style>
  <w:style w:type="paragraph" w:customStyle="1" w:styleId="67">
    <w:name w:val="表格文字"/>
    <w:link w:val="66"/>
    <w:qFormat/>
    <w:uiPriority w:val="0"/>
    <w:pPr>
      <w:jc w:val="center"/>
    </w:pPr>
    <w:rPr>
      <w:rFonts w:ascii="Times New Roman" w:hAnsi="Times New Roman" w:eastAsia="宋体" w:cs="Times New Roman"/>
      <w:sz w:val="24"/>
      <w:lang w:val="en-US" w:eastAsia="zh-CN" w:bidi="ar-SA"/>
    </w:rPr>
  </w:style>
  <w:style w:type="paragraph" w:customStyle="1" w:styleId="68">
    <w:name w:val="报告表格"/>
    <w:qFormat/>
    <w:uiPriority w:val="0"/>
    <w:pPr>
      <w:autoSpaceDE w:val="0"/>
      <w:autoSpaceDN w:val="0"/>
      <w:adjustRightInd w:val="0"/>
      <w:jc w:val="center"/>
    </w:pPr>
    <w:rPr>
      <w:rFonts w:ascii="Times New Roman" w:hAnsi="Times New Roman" w:eastAsia="宋体" w:cs="Times New Roman"/>
      <w:b/>
      <w:sz w:val="24"/>
      <w:lang w:val="en-US" w:eastAsia="zh-CN" w:bidi="ar-SA"/>
    </w:rPr>
  </w:style>
  <w:style w:type="paragraph" w:customStyle="1" w:styleId="69">
    <w:name w:val="修订2"/>
    <w:hidden/>
    <w:semiHidden/>
    <w:qFormat/>
    <w:uiPriority w:val="99"/>
    <w:rPr>
      <w:rFonts w:asciiTheme="minorHAnsi" w:hAnsiTheme="minorHAnsi" w:eastAsiaTheme="minorEastAsia" w:cstheme="minorBidi"/>
      <w:kern w:val="2"/>
      <w:sz w:val="21"/>
      <w:szCs w:val="22"/>
      <w:lang w:val="en-US" w:eastAsia="zh-CN" w:bidi="ar-SA"/>
    </w:rPr>
  </w:style>
  <w:style w:type="character" w:customStyle="1" w:styleId="70">
    <w:name w:val="表格式 Char1"/>
    <w:link w:val="71"/>
    <w:qFormat/>
    <w:uiPriority w:val="0"/>
    <w:rPr>
      <w:rFonts w:ascii="宋体" w:hAnsi="Brush Script MT"/>
      <w:kern w:val="2"/>
      <w:sz w:val="21"/>
    </w:rPr>
  </w:style>
  <w:style w:type="paragraph" w:customStyle="1" w:styleId="71">
    <w:name w:val="表格式"/>
    <w:basedOn w:val="22"/>
    <w:link w:val="70"/>
    <w:qFormat/>
    <w:uiPriority w:val="0"/>
    <w:pPr>
      <w:spacing w:before="60" w:after="100" w:line="320" w:lineRule="exact"/>
      <w:ind w:left="0" w:firstLine="0" w:firstLineChars="0"/>
      <w:contextualSpacing w:val="0"/>
      <w:jc w:val="center"/>
    </w:pPr>
    <w:rPr>
      <w:rFonts w:ascii="宋体" w:hAnsi="Brush Script MT" w:eastAsia="宋体" w:cs="Times New Roman"/>
      <w:szCs w:val="20"/>
    </w:rPr>
  </w:style>
  <w:style w:type="table" w:customStyle="1" w:styleId="72">
    <w:name w:val="Table Normal"/>
    <w:semiHidden/>
    <w:unhideWhenUsed/>
    <w:qFormat/>
    <w:uiPriority w:val="2"/>
    <w:rPr>
      <w:rFonts w:asciiTheme="minorHAnsi" w:hAnsiTheme="minorHAnsi" w:eastAsiaTheme="minorEastAsia" w:cstheme="minorBidi"/>
    </w:rPr>
    <w:tblPr>
      <w:tblCellMar>
        <w:top w:w="0" w:type="dxa"/>
        <w:left w:w="0" w:type="dxa"/>
        <w:bottom w:w="0" w:type="dxa"/>
        <w:right w:w="0" w:type="dxa"/>
      </w:tblCellMar>
    </w:tblPr>
  </w:style>
  <w:style w:type="paragraph" w:customStyle="1" w:styleId="73">
    <w:name w:val="侯万洪正文"/>
    <w:basedOn w:val="1"/>
    <w:qFormat/>
    <w:uiPriority w:val="0"/>
    <w:pPr>
      <w:ind w:firstLine="480"/>
    </w:pPr>
    <w:rPr>
      <w:rFonts w:cs="Times New Roman"/>
      <w:szCs w:val="24"/>
      <w:lang w:val="en-GB"/>
    </w:rPr>
  </w:style>
  <w:style w:type="character" w:customStyle="1" w:styleId="74">
    <w:name w:val="font21"/>
    <w:basedOn w:val="32"/>
    <w:qFormat/>
    <w:uiPriority w:val="0"/>
    <w:rPr>
      <w:rFonts w:hint="eastAsia" w:ascii="宋体" w:hAnsi="宋体" w:eastAsia="宋体" w:cs="宋体"/>
      <w:color w:val="000000"/>
      <w:sz w:val="21"/>
      <w:szCs w:val="21"/>
      <w:u w:val="none"/>
    </w:rPr>
  </w:style>
  <w:style w:type="character" w:customStyle="1" w:styleId="75">
    <w:name w:val="font11"/>
    <w:basedOn w:val="32"/>
    <w:qFormat/>
    <w:uiPriority w:val="0"/>
    <w:rPr>
      <w:rFonts w:hint="default" w:ascii="Times New Roman" w:hAnsi="Times New Roman" w:cs="Times New Roman"/>
      <w:color w:val="000000"/>
      <w:sz w:val="21"/>
      <w:szCs w:val="21"/>
      <w:u w:val="none"/>
    </w:rPr>
  </w:style>
  <w:style w:type="paragraph" w:customStyle="1" w:styleId="76">
    <w:name w:val="小四号正文"/>
    <w:basedOn w:val="1"/>
    <w:qFormat/>
    <w:uiPriority w:val="0"/>
    <w:pPr>
      <w:widowControl/>
      <w:ind w:firstLine="480" w:firstLineChars="200"/>
      <w:jc w:val="left"/>
    </w:pPr>
    <w:rPr>
      <w:rFonts w:hint="eastAsia" w:ascii="宋体" w:hAnsi="宋体" w:cs="宋体"/>
      <w:color w:val="000000"/>
      <w:kern w:val="0"/>
      <w:sz w:val="24"/>
      <w:lang w:bidi="ar"/>
    </w:rPr>
  </w:style>
  <w:style w:type="table" w:customStyle="1" w:styleId="77">
    <w:name w:val="网格型1"/>
    <w:basedOn w:val="29"/>
    <w:qFormat/>
    <w:uiPriority w:val="0"/>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customStyle="1" w:styleId="78">
    <w:name w:val="font41"/>
    <w:basedOn w:val="32"/>
    <w:qFormat/>
    <w:uiPriority w:val="0"/>
    <w:rPr>
      <w:rFonts w:hint="eastAsia" w:ascii="宋体" w:hAnsi="宋体" w:eastAsia="宋体" w:cs="宋体"/>
      <w:b/>
      <w:bCs/>
      <w:color w:val="000000"/>
      <w:sz w:val="21"/>
      <w:szCs w:val="21"/>
      <w:u w:val="none"/>
    </w:rPr>
  </w:style>
  <w:style w:type="character" w:customStyle="1" w:styleId="79">
    <w:name w:val="font01"/>
    <w:basedOn w:val="32"/>
    <w:qFormat/>
    <w:uiPriority w:val="0"/>
    <w:rPr>
      <w:rFonts w:hint="eastAsia" w:ascii="宋体" w:hAnsi="宋体" w:eastAsia="宋体" w:cs="宋体"/>
      <w:b/>
      <w:bCs/>
      <w:color w:val="000000"/>
      <w:sz w:val="21"/>
      <w:szCs w:val="21"/>
      <w:u w:val="none"/>
    </w:rPr>
  </w:style>
  <w:style w:type="character" w:customStyle="1" w:styleId="80">
    <w:name w:val="font71"/>
    <w:basedOn w:val="32"/>
    <w:qFormat/>
    <w:uiPriority w:val="0"/>
    <w:rPr>
      <w:rFonts w:hint="default" w:ascii="Times New Roman" w:hAnsi="Times New Roman" w:cs="Times New Roman"/>
      <w:b/>
      <w:bCs/>
      <w:color w:val="000000"/>
      <w:sz w:val="21"/>
      <w:szCs w:val="21"/>
      <w:u w:val="none"/>
    </w:rPr>
  </w:style>
  <w:style w:type="character" w:customStyle="1" w:styleId="81">
    <w:name w:val="font51"/>
    <w:basedOn w:val="32"/>
    <w:qFormat/>
    <w:uiPriority w:val="0"/>
    <w:rPr>
      <w:rFonts w:hint="eastAsia" w:ascii="宋体" w:hAnsi="宋体" w:eastAsia="宋体" w:cs="宋体"/>
      <w:color w:val="000000"/>
      <w:sz w:val="21"/>
      <w:szCs w:val="21"/>
      <w:u w:val="none"/>
    </w:rPr>
  </w:style>
  <w:style w:type="character" w:customStyle="1" w:styleId="82">
    <w:name w:val="font121"/>
    <w:basedOn w:val="32"/>
    <w:qFormat/>
    <w:uiPriority w:val="0"/>
    <w:rPr>
      <w:rFonts w:hint="default" w:ascii="Times New Roman" w:hAnsi="Times New Roman" w:cs="Times New Roman"/>
      <w:color w:val="000000"/>
      <w:sz w:val="21"/>
      <w:szCs w:val="21"/>
      <w:u w:val="none"/>
    </w:rPr>
  </w:style>
  <w:style w:type="character" w:customStyle="1" w:styleId="83">
    <w:name w:val="font31"/>
    <w:basedOn w:val="32"/>
    <w:qFormat/>
    <w:uiPriority w:val="0"/>
    <w:rPr>
      <w:rFonts w:hint="default" w:ascii="Times New Roman" w:hAnsi="Times New Roman" w:cs="Times New Roman"/>
      <w:color w:val="000000"/>
      <w:sz w:val="21"/>
      <w:szCs w:val="21"/>
      <w:u w:val="none"/>
    </w:rPr>
  </w:style>
  <w:style w:type="character" w:customStyle="1" w:styleId="84">
    <w:name w:val="font111"/>
    <w:basedOn w:val="32"/>
    <w:qFormat/>
    <w:uiPriority w:val="0"/>
    <w:rPr>
      <w:rFonts w:hint="default" w:ascii="Times New Roman" w:hAnsi="Times New Roman" w:cs="Times New Roman"/>
      <w:color w:val="000000"/>
      <w:sz w:val="21"/>
      <w:szCs w:val="21"/>
      <w:u w:val="none"/>
      <w:vertAlign w:val="superscript"/>
    </w:rPr>
  </w:style>
  <w:style w:type="character" w:customStyle="1" w:styleId="85">
    <w:name w:val="font13"/>
    <w:basedOn w:val="32"/>
    <w:qFormat/>
    <w:uiPriority w:val="0"/>
    <w:rPr>
      <w:rFonts w:hint="eastAsia" w:ascii="宋体" w:hAnsi="宋体" w:eastAsia="宋体" w:cs="宋体"/>
      <w:color w:val="000000"/>
      <w:sz w:val="22"/>
      <w:szCs w:val="22"/>
      <w:u w:val="none"/>
    </w:rPr>
  </w:style>
  <w:style w:type="character" w:customStyle="1" w:styleId="86">
    <w:name w:val="font132"/>
    <w:basedOn w:val="32"/>
    <w:qFormat/>
    <w:uiPriority w:val="0"/>
    <w:rPr>
      <w:rFonts w:hint="default" w:ascii="Times New Roman" w:hAnsi="Times New Roman" w:cs="Times New Roman"/>
      <w:color w:val="000000"/>
      <w:sz w:val="22"/>
      <w:szCs w:val="22"/>
      <w:u w:val="none"/>
    </w:rPr>
  </w:style>
  <w:style w:type="character" w:customStyle="1" w:styleId="87">
    <w:name w:val="font101"/>
    <w:basedOn w:val="32"/>
    <w:qFormat/>
    <w:uiPriority w:val="0"/>
    <w:rPr>
      <w:rFonts w:hint="default" w:ascii="Times New Roman" w:hAnsi="Times New Roman" w:cs="Times New Roman"/>
      <w:color w:val="000000"/>
      <w:sz w:val="22"/>
      <w:szCs w:val="22"/>
      <w:u w:val="none"/>
      <w:vertAlign w:val="superscript"/>
    </w:rPr>
  </w:style>
  <w:style w:type="character" w:customStyle="1" w:styleId="88">
    <w:name w:val="font141"/>
    <w:basedOn w:val="32"/>
    <w:qFormat/>
    <w:uiPriority w:val="0"/>
    <w:rPr>
      <w:rFonts w:hint="default" w:ascii="Times New Roman" w:hAnsi="Times New Roman" w:cs="Times New Roman"/>
      <w:color w:val="000000"/>
      <w:sz w:val="21"/>
      <w:szCs w:val="21"/>
      <w:u w:val="none"/>
      <w:vertAlign w:val="superscript"/>
    </w:rPr>
  </w:style>
  <w:style w:type="character" w:customStyle="1" w:styleId="89">
    <w:name w:val="font112"/>
    <w:basedOn w:val="32"/>
    <w:qFormat/>
    <w:uiPriority w:val="0"/>
    <w:rPr>
      <w:rFonts w:hint="default" w:ascii="Times New Roman" w:hAnsi="Times New Roman" w:cs="Times New Roman"/>
      <w:color w:val="000000"/>
      <w:sz w:val="21"/>
      <w:szCs w:val="21"/>
      <w:u w:val="none"/>
      <w:vertAlign w:val="superscript"/>
    </w:rPr>
  </w:style>
  <w:style w:type="character" w:customStyle="1" w:styleId="90">
    <w:name w:val="font131"/>
    <w:basedOn w:val="32"/>
    <w:qFormat/>
    <w:uiPriority w:val="0"/>
    <w:rPr>
      <w:rFonts w:hint="default" w:ascii="Times New Roman" w:hAnsi="Times New Roman" w:cs="Times New Roman"/>
      <w:color w:val="000000"/>
      <w:sz w:val="22"/>
      <w:szCs w:val="22"/>
      <w:u w:val="none"/>
    </w:rPr>
  </w:style>
  <w:style w:type="character" w:customStyle="1" w:styleId="91">
    <w:name w:val="font91"/>
    <w:basedOn w:val="32"/>
    <w:qFormat/>
    <w:uiPriority w:val="0"/>
    <w:rPr>
      <w:rFonts w:hint="default" w:ascii="Times New Roman" w:hAnsi="Times New Roman" w:cs="Times New Roman"/>
      <w:color w:val="000000"/>
      <w:sz w:val="21"/>
      <w:szCs w:val="21"/>
      <w:u w:val="none"/>
      <w:vertAlign w:val="superscript"/>
    </w:rPr>
  </w:style>
  <w:style w:type="character" w:customStyle="1" w:styleId="92">
    <w:name w:val="font81"/>
    <w:basedOn w:val="32"/>
    <w:qFormat/>
    <w:uiPriority w:val="0"/>
    <w:rPr>
      <w:rFonts w:hint="default" w:ascii="Times New Roman" w:hAnsi="Times New Roman" w:cs="Times New Roman"/>
      <w:color w:val="000000"/>
      <w:sz w:val="22"/>
      <w:szCs w:val="22"/>
      <w:u w:val="none"/>
      <w:vertAlign w:val="superscript"/>
    </w:rPr>
  </w:style>
  <w:style w:type="paragraph" w:styleId="93">
    <w:name w:val="No Spacing"/>
    <w:link w:val="94"/>
    <w:semiHidden/>
    <w:unhideWhenUsed/>
    <w:qFormat/>
    <w:uiPriority w:val="99"/>
    <w:rPr>
      <w:rFonts w:asciiTheme="minorHAnsi" w:hAnsiTheme="minorHAnsi" w:eastAsiaTheme="minorEastAsia" w:cstheme="minorBidi"/>
      <w:sz w:val="22"/>
      <w:szCs w:val="22"/>
      <w:lang w:val="en-US" w:eastAsia="zh-CN" w:bidi="ar-SA"/>
    </w:rPr>
  </w:style>
  <w:style w:type="character" w:customStyle="1" w:styleId="94">
    <w:name w:val="无间隔 字符"/>
    <w:basedOn w:val="32"/>
    <w:link w:val="93"/>
    <w:qFormat/>
    <w:uiPriority w:val="1"/>
    <w:rPr>
      <w:rFonts w:asciiTheme="minorHAnsi" w:hAnsiTheme="minorHAnsi" w:eastAsiaTheme="minorEastAsia" w:cstheme="minorBidi"/>
      <w:sz w:val="22"/>
      <w:szCs w:val="22"/>
      <w:lang w:val="en-US" w:eastAsia="zh-CN" w:bidi="ar-SA"/>
    </w:rPr>
  </w:style>
  <w:style w:type="character" w:customStyle="1" w:styleId="95">
    <w:name w:val="批注文字 Char"/>
    <w:link w:val="8"/>
    <w:semiHidden/>
    <w:qFormat/>
    <w:uiPriority w:val="0"/>
    <w:rPr>
      <w:rFonts w:ascii="Times New Roman" w:hAnsi="Times New Roman" w:eastAsia="宋体" w:cs="Times New Roman"/>
      <w:kern w:val="2"/>
      <w:sz w:val="21"/>
      <w:szCs w:val="24"/>
    </w:rPr>
  </w:style>
  <w:style w:type="character" w:customStyle="1" w:styleId="96">
    <w:name w:val="纯文本 Char"/>
    <w:link w:val="15"/>
    <w:qFormat/>
    <w:uiPriority w:val="0"/>
    <w:rPr>
      <w:rFonts w:ascii="宋体" w:hAnsi="Courier New" w:eastAsia="宋体" w:cs="宋体"/>
      <w:kern w:val="2"/>
      <w:sz w:val="21"/>
      <w:szCs w:val="28"/>
    </w:rPr>
  </w:style>
  <w:style w:type="character" w:customStyle="1" w:styleId="97">
    <w:name w:val="批注框文本 Char"/>
    <w:link w:val="18"/>
    <w:qFormat/>
    <w:uiPriority w:val="0"/>
    <w:rPr>
      <w:rFonts w:ascii="Times New Roman" w:hAnsi="Times New Roman" w:eastAsia="宋体" w:cs="Times New Roman"/>
      <w:kern w:val="2"/>
      <w:sz w:val="18"/>
      <w:szCs w:val="18"/>
    </w:rPr>
  </w:style>
  <w:style w:type="character" w:customStyle="1" w:styleId="98">
    <w:name w:val="页脚 Char"/>
    <w:link w:val="19"/>
    <w:qFormat/>
    <w:uiPriority w:val="99"/>
    <w:rPr>
      <w:rFonts w:ascii="Times New Roman" w:hAnsi="Times New Roman" w:eastAsia="宋体" w:cs="Times New Roman"/>
      <w:kern w:val="2"/>
      <w:sz w:val="18"/>
    </w:rPr>
  </w:style>
  <w:style w:type="character" w:customStyle="1" w:styleId="99">
    <w:name w:val="页眉 Char"/>
    <w:link w:val="20"/>
    <w:qFormat/>
    <w:uiPriority w:val="99"/>
    <w:rPr>
      <w:rFonts w:ascii="Times New Roman" w:hAnsi="Times New Roman" w:eastAsia="宋体" w:cs="Times New Roman"/>
      <w:kern w:val="2"/>
      <w:sz w:val="18"/>
    </w:rPr>
  </w:style>
  <w:style w:type="character" w:customStyle="1" w:styleId="100">
    <w:name w:val="标题 Char"/>
    <w:link w:val="26"/>
    <w:qFormat/>
    <w:uiPriority w:val="0"/>
    <w:rPr>
      <w:rFonts w:ascii="Calibri Light" w:hAnsi="Calibri Light" w:eastAsia="宋体" w:cs="Times New Roman"/>
      <w:b/>
      <w:bCs/>
      <w:sz w:val="32"/>
      <w:szCs w:val="32"/>
    </w:rPr>
  </w:style>
  <w:style w:type="character" w:customStyle="1" w:styleId="101">
    <w:name w:val="批注主题 Char"/>
    <w:link w:val="27"/>
    <w:qFormat/>
    <w:uiPriority w:val="0"/>
    <w:rPr>
      <w:rFonts w:ascii="Times New Roman" w:hAnsi="Times New Roman" w:eastAsia="宋体" w:cs="Times New Roman"/>
      <w:b/>
      <w:bCs/>
      <w:kern w:val="2"/>
      <w:sz w:val="21"/>
      <w:szCs w:val="24"/>
    </w:rPr>
  </w:style>
  <w:style w:type="character" w:customStyle="1" w:styleId="102">
    <w:name w:val="纯文本 Char1"/>
    <w:qFormat/>
    <w:uiPriority w:val="0"/>
    <w:rPr>
      <w:rFonts w:ascii="宋体" w:hAnsi="Courier New" w:eastAsia="宋体" w:cs="Courier New"/>
      <w:kern w:val="2"/>
      <w:sz w:val="21"/>
      <w:szCs w:val="21"/>
    </w:rPr>
  </w:style>
  <w:style w:type="paragraph" w:customStyle="1" w:styleId="103">
    <w:name w:val="xl46"/>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104">
    <w:name w:val="_Style 97"/>
    <w:basedOn w:val="2"/>
    <w:next w:val="1"/>
    <w:qFormat/>
    <w:uiPriority w:val="39"/>
    <w:pPr>
      <w:widowControl/>
      <w:spacing w:before="240" w:after="0" w:line="259" w:lineRule="auto"/>
      <w:jc w:val="left"/>
      <w:outlineLvl w:val="9"/>
    </w:pPr>
    <w:rPr>
      <w:rFonts w:ascii="Calibri Light" w:hAnsi="Calibri Light" w:eastAsia="宋体" w:cs="Times New Roman"/>
      <w:b/>
      <w:bCs w:val="0"/>
      <w:color w:val="2E74B5"/>
      <w:kern w:val="0"/>
      <w:sz w:val="32"/>
      <w:szCs w:val="32"/>
    </w:rPr>
  </w:style>
  <w:style w:type="paragraph" w:customStyle="1" w:styleId="105">
    <w:name w:val=" Char Char Char Char Char Char Char Char Char1 Char"/>
    <w:basedOn w:val="1"/>
    <w:next w:val="1"/>
    <w:qFormat/>
    <w:uiPriority w:val="0"/>
    <w:pPr>
      <w:spacing w:line="360" w:lineRule="auto"/>
      <w:ind w:firstLine="200" w:firstLineChars="200"/>
    </w:pPr>
    <w:rPr>
      <w:rFonts w:ascii="Times New Roman" w:hAnsi="Times New Roman" w:eastAsia="宋体" w:cs="Times New Roman"/>
      <w:szCs w:val="20"/>
    </w:rPr>
  </w:style>
  <w:style w:type="paragraph" w:customStyle="1" w:styleId="106">
    <w:name w:val="xl24"/>
    <w:basedOn w:val="1"/>
    <w:qFormat/>
    <w:uiPriority w:val="0"/>
    <w:pPr>
      <w:widowControl/>
      <w:pBdr>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Cs w:val="21"/>
    </w:rPr>
  </w:style>
  <w:style w:type="paragraph" w:customStyle="1" w:styleId="107">
    <w:name w:val="表文字"/>
    <w:basedOn w:val="1"/>
    <w:qFormat/>
    <w:uiPriority w:val="0"/>
    <w:pPr>
      <w:adjustRightInd w:val="0"/>
      <w:spacing w:line="240" w:lineRule="exact"/>
      <w:textAlignment w:val="baseline"/>
    </w:pPr>
    <w:rPr>
      <w:rFonts w:ascii="Times New Roman" w:hAnsi="Times New Roman" w:eastAsia="宋体" w:cs="Times New Roman"/>
      <w:szCs w:val="20"/>
    </w:rPr>
  </w:style>
  <w:style w:type="paragraph" w:customStyle="1" w:styleId="108">
    <w:name w:val="默认段落字体 Para Char"/>
    <w:basedOn w:val="1"/>
    <w:next w:val="1"/>
    <w:qFormat/>
    <w:uiPriority w:val="0"/>
    <w:pPr>
      <w:spacing w:line="360" w:lineRule="auto"/>
      <w:ind w:firstLine="200" w:firstLineChars="200"/>
    </w:pPr>
    <w:rPr>
      <w:rFonts w:ascii="Times New Roman" w:hAnsi="Times New Roman" w:eastAsia="宋体" w:cs="Times New Roman"/>
      <w:sz w:val="28"/>
      <w:szCs w:val="20"/>
    </w:rPr>
  </w:style>
  <w:style w:type="paragraph" w:customStyle="1" w:styleId="109">
    <w:name w:val="【表格文字】"/>
    <w:qFormat/>
    <w:uiPriority w:val="0"/>
    <w:pPr>
      <w:jc w:val="center"/>
    </w:pPr>
    <w:rPr>
      <w:rFonts w:ascii="Times New Roman" w:hAnsi="Times New Roman" w:eastAsia="宋体" w:cs="Times New Roman"/>
      <w:sz w:val="21"/>
      <w:lang w:val="en-US" w:eastAsia="zh-CN" w:bidi="ar-SA"/>
    </w:rPr>
  </w:style>
  <w:style w:type="paragraph" w:customStyle="1" w:styleId="110">
    <w:name w:val="Table Paragraph"/>
    <w:basedOn w:val="1"/>
    <w:qFormat/>
    <w:uiPriority w:val="1"/>
    <w:rPr>
      <w:rFonts w:ascii="宋体" w:hAnsi="宋体" w:eastAsia="宋体" w:cs="宋体"/>
      <w:lang w:val="zh-CN" w:eastAsia="zh-CN" w:bidi="zh-CN"/>
    </w:rPr>
  </w:style>
  <w:style w:type="paragraph" w:customStyle="1" w:styleId="111">
    <w:name w:val="Body text|1"/>
    <w:basedOn w:val="1"/>
    <w:qFormat/>
    <w:uiPriority w:val="0"/>
    <w:pPr>
      <w:widowControl w:val="0"/>
      <w:shd w:val="clear" w:color="auto" w:fill="auto"/>
      <w:spacing w:line="396" w:lineRule="auto"/>
      <w:ind w:firstLine="400"/>
    </w:pPr>
    <w:rPr>
      <w:rFonts w:ascii="宋体" w:hAnsi="宋体" w:eastAsia="宋体" w:cs="宋体"/>
      <w:sz w:val="30"/>
      <w:szCs w:val="30"/>
      <w:u w:val="none"/>
      <w:shd w:val="clear" w:color="auto" w:fill="auto"/>
      <w:lang w:val="zh-TW" w:eastAsia="zh-TW" w:bidi="zh-TW"/>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4" Type="http://schemas.openxmlformats.org/officeDocument/2006/relationships/fontTable" Target="fontTable.xml"/><Relationship Id="rId23" Type="http://schemas.openxmlformats.org/officeDocument/2006/relationships/customXml" Target="../customXml/item2.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jpe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灰度">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B00D7EC-65A3-4551-83CE-5AABE13168E5}">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37</Pages>
  <Words>6601</Words>
  <Characters>7424</Characters>
  <Lines>19</Lines>
  <Paragraphs>5</Paragraphs>
  <TotalTime>2</TotalTime>
  <ScaleCrop>false</ScaleCrop>
  <LinksUpToDate>false</LinksUpToDate>
  <CharactersWithSpaces>7511</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2017-12-14T02:39:00Z</dcterms:created>
  <dc:creator>admin</dc:creator>
  <cp:lastModifiedBy>环保管家李萌～15516198587</cp:lastModifiedBy>
  <cp:lastPrinted>2023-01-08T06:59:00Z</cp:lastPrinted>
  <dcterms:modified xsi:type="dcterms:W3CDTF">2025-11-24T06:43:26Z</dcterms:modified>
  <cp:revision>153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64FDA964908C421ABAAC5DAB89CCD91B_13</vt:lpwstr>
  </property>
  <property fmtid="{D5CDD505-2E9C-101B-9397-08002B2CF9AE}" pid="4" name="KSOTemplateDocerSaveRecord">
    <vt:lpwstr>eyJoZGlkIjoiNTk0YjkyY2JhM2IwYmEwNTI5Y2U3YWNiMzdhMDFjZWUiLCJ1c2VySWQiOiIxMTM0MjEzMjA5In0=</vt:lpwstr>
  </property>
</Properties>
</file>